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8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  <w:gridCol w:w="1260"/>
      </w:tblGrid>
      <w:tr w:rsidR="008E027E" w:rsidTr="002858C0">
        <w:tc>
          <w:tcPr>
            <w:tcW w:w="10620" w:type="dxa"/>
          </w:tcPr>
          <w:p w:rsidR="008E027E" w:rsidRPr="008E027E" w:rsidRDefault="00DF2EEB" w:rsidP="00922993">
            <w:pPr>
              <w:ind w:left="792"/>
              <w:rPr>
                <w:rFonts w:ascii="Arial Black" w:hAnsi="Arial Black"/>
                <w:color w:val="1F497D" w:themeColor="text2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Spring</w:t>
            </w:r>
            <w:r w:rsidR="008E027E">
              <w:rPr>
                <w:rFonts w:ascii="Arial Black" w:hAnsi="Arial Black"/>
                <w:sz w:val="40"/>
                <w:szCs w:val="40"/>
              </w:rPr>
              <w:t xml:space="preserve"> 201</w:t>
            </w:r>
            <w:r>
              <w:rPr>
                <w:rFonts w:ascii="Arial Black" w:hAnsi="Arial Black"/>
                <w:sz w:val="40"/>
                <w:szCs w:val="40"/>
              </w:rPr>
              <w:t>5</w:t>
            </w:r>
            <w:r w:rsidR="008E027E">
              <w:rPr>
                <w:rFonts w:ascii="Arial Black" w:hAnsi="Arial Black"/>
                <w:sz w:val="40"/>
                <w:szCs w:val="40"/>
              </w:rPr>
              <w:br/>
            </w:r>
            <w:r w:rsidR="008E027E" w:rsidRPr="008E027E">
              <w:rPr>
                <w:rFonts w:ascii="Arial Black" w:hAnsi="Arial Black"/>
                <w:color w:val="1F497D" w:themeColor="text2"/>
                <w:sz w:val="40"/>
                <w:szCs w:val="40"/>
              </w:rPr>
              <w:t xml:space="preserve">Introduction to Remote Sensing </w:t>
            </w:r>
            <w:r w:rsidR="008E027E">
              <w:rPr>
                <w:rFonts w:ascii="Arial Black" w:hAnsi="Arial Black"/>
                <w:color w:val="1F497D" w:themeColor="text2"/>
                <w:sz w:val="40"/>
                <w:szCs w:val="40"/>
              </w:rPr>
              <w:tab/>
            </w:r>
            <w:r w:rsidR="008E027E" w:rsidRPr="008E027E">
              <w:rPr>
                <w:rFonts w:ascii="Arial Black" w:hAnsi="Arial Black"/>
                <w:color w:val="1F497D" w:themeColor="text2"/>
                <w:sz w:val="40"/>
                <w:szCs w:val="40"/>
              </w:rPr>
              <w:br/>
            </w:r>
            <w:r w:rsidR="00922993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 </w:t>
            </w:r>
            <w:r w:rsidR="008E027E" w:rsidRPr="00922993">
              <w:rPr>
                <w:rFonts w:ascii="Arial Black" w:hAnsi="Arial Black"/>
                <w:color w:val="1F497D" w:themeColor="text2"/>
                <w:sz w:val="24"/>
                <w:szCs w:val="24"/>
              </w:rPr>
              <w:t>GEG 133 (3 credit hours)</w:t>
            </w:r>
          </w:p>
        </w:tc>
        <w:tc>
          <w:tcPr>
            <w:tcW w:w="1260" w:type="dxa"/>
          </w:tcPr>
          <w:p w:rsidR="008E027E" w:rsidRDefault="008E027E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noProof/>
                <w:sz w:val="40"/>
                <w:szCs w:val="40"/>
              </w:rPr>
              <w:drawing>
                <wp:inline distT="0" distB="0" distL="0" distR="0">
                  <wp:extent cx="800100" cy="8509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27E" w:rsidRPr="008E027E" w:rsidRDefault="008E027E" w:rsidP="008E02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1F497D" w:themeColor="text2"/>
          <w:sz w:val="26"/>
          <w:szCs w:val="26"/>
        </w:rPr>
      </w:pPr>
      <w:r w:rsidRPr="008E027E">
        <w:rPr>
          <w:rFonts w:ascii="Arial" w:hAnsi="Arial" w:cs="Arial"/>
          <w:color w:val="1F497D" w:themeColor="text2"/>
          <w:sz w:val="26"/>
          <w:szCs w:val="26"/>
        </w:rPr>
        <w:t>Introduction to the fundamentals of Geospatial Technology, with a focus on remote sensing but also including Geographic Information Systems (GIS), global positioning system (GPS), cartography, and spatial analysis.  Students will be guided through a series of lectures and hands</w:t>
      </w:r>
      <w:r w:rsidRPr="008E027E">
        <w:rPr>
          <w:rFonts w:ascii="Cambria" w:hAnsi="Cambria" w:cs="Arial"/>
          <w:color w:val="1F497D" w:themeColor="text2"/>
          <w:sz w:val="26"/>
          <w:szCs w:val="26"/>
        </w:rPr>
        <w:t>‐</w:t>
      </w:r>
      <w:r w:rsidRPr="008E027E">
        <w:rPr>
          <w:rFonts w:ascii="Arial" w:hAnsi="Arial" w:cs="Arial"/>
          <w:color w:val="1F497D" w:themeColor="text2"/>
          <w:sz w:val="26"/>
          <w:szCs w:val="26"/>
        </w:rPr>
        <w:t>on computer</w:t>
      </w:r>
      <w:r w:rsidRPr="008E027E">
        <w:rPr>
          <w:rFonts w:ascii="Cambria" w:hAnsi="Cambria" w:cs="Arial"/>
          <w:color w:val="1F497D" w:themeColor="text2"/>
          <w:sz w:val="26"/>
          <w:szCs w:val="26"/>
        </w:rPr>
        <w:t>‐</w:t>
      </w:r>
      <w:r w:rsidRPr="008E027E">
        <w:rPr>
          <w:rFonts w:ascii="Arial" w:hAnsi="Arial" w:cs="Arial"/>
          <w:color w:val="1F497D" w:themeColor="text2"/>
          <w:sz w:val="26"/>
          <w:szCs w:val="26"/>
        </w:rPr>
        <w:t xml:space="preserve">based exercises.  An end of a semester project </w:t>
      </w:r>
      <w:r w:rsidRPr="008E027E">
        <w:rPr>
          <w:rFonts w:ascii="Arial" w:eastAsia="Calibri" w:hAnsi="Arial" w:cs="Arial"/>
          <w:color w:val="1F497D" w:themeColor="text2"/>
          <w:sz w:val="26"/>
          <w:szCs w:val="26"/>
        </w:rPr>
        <w:t xml:space="preserve">will </w:t>
      </w:r>
      <w:r w:rsidRPr="008E027E">
        <w:rPr>
          <w:rFonts w:ascii="Arial" w:hAnsi="Arial" w:cs="Arial"/>
          <w:color w:val="1F497D" w:themeColor="text2"/>
          <w:sz w:val="26"/>
          <w:szCs w:val="26"/>
        </w:rPr>
        <w:t>allow</w:t>
      </w:r>
      <w:r w:rsidRPr="008E027E">
        <w:rPr>
          <w:rFonts w:ascii="Arial" w:eastAsia="Calibri" w:hAnsi="Arial" w:cs="Arial"/>
          <w:color w:val="1F497D" w:themeColor="text2"/>
          <w:sz w:val="26"/>
          <w:szCs w:val="26"/>
        </w:rPr>
        <w:t xml:space="preserve"> students </w:t>
      </w:r>
      <w:r w:rsidRPr="008E027E">
        <w:rPr>
          <w:rFonts w:ascii="Arial" w:hAnsi="Arial" w:cs="Arial"/>
          <w:color w:val="1F497D" w:themeColor="text2"/>
          <w:sz w:val="26"/>
          <w:szCs w:val="26"/>
        </w:rPr>
        <w:t>to work on a project of their own design.  Course material</w:t>
      </w:r>
      <w:r w:rsidR="003D47F1">
        <w:rPr>
          <w:rFonts w:ascii="Arial" w:hAnsi="Arial" w:cs="Arial"/>
          <w:color w:val="1F497D" w:themeColor="text2"/>
          <w:sz w:val="26"/>
          <w:szCs w:val="26"/>
        </w:rPr>
        <w:t>s</w:t>
      </w:r>
      <w:r w:rsidRPr="008E027E">
        <w:rPr>
          <w:rFonts w:ascii="Arial" w:hAnsi="Arial" w:cs="Arial"/>
          <w:color w:val="1F497D" w:themeColor="text2"/>
          <w:sz w:val="26"/>
          <w:szCs w:val="26"/>
        </w:rPr>
        <w:t xml:space="preserve"> used are based upon the United States Department of Labor’s Geospatial Technology Competency Model (GCTM) for entry level geospatial occupations including Geospatial or GIS Technicians or Technologists.   </w:t>
      </w:r>
      <w:r w:rsidR="006C186D">
        <w:rPr>
          <w:rFonts w:ascii="Arial" w:eastAsia="Calibri" w:hAnsi="Arial" w:cs="Arial"/>
          <w:color w:val="1F497D" w:themeColor="text2"/>
          <w:sz w:val="26"/>
          <w:szCs w:val="26"/>
        </w:rPr>
        <w:t>Natural s</w:t>
      </w:r>
      <w:r w:rsidRPr="008E027E">
        <w:rPr>
          <w:rFonts w:ascii="Arial" w:eastAsia="Calibri" w:hAnsi="Arial" w:cs="Arial"/>
          <w:color w:val="1F497D" w:themeColor="text2"/>
          <w:sz w:val="26"/>
          <w:szCs w:val="26"/>
        </w:rPr>
        <w:t>cience elective and a sustainability elective (GR). This is a lab course.</w:t>
      </w:r>
    </w:p>
    <w:p w:rsidR="008E027E" w:rsidRDefault="008E027E" w:rsidP="008E02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8E027E" w:rsidRPr="008E027E" w:rsidRDefault="008E027E" w:rsidP="008E02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E027E">
        <w:rPr>
          <w:rFonts w:ascii="Arial" w:eastAsia="Calibri" w:hAnsi="Arial" w:cs="Arial"/>
          <w:sz w:val="26"/>
          <w:szCs w:val="26"/>
        </w:rPr>
        <w:t xml:space="preserve">Prior computer knowledge </w:t>
      </w:r>
      <w:r>
        <w:rPr>
          <w:rFonts w:ascii="Arial" w:eastAsia="Calibri" w:hAnsi="Arial" w:cs="Arial"/>
          <w:sz w:val="26"/>
          <w:szCs w:val="26"/>
        </w:rPr>
        <w:t xml:space="preserve">(ask instructor for permission) </w:t>
      </w:r>
      <w:r w:rsidRPr="008E027E">
        <w:rPr>
          <w:rFonts w:ascii="Arial" w:hAnsi="Arial" w:cs="Arial"/>
          <w:sz w:val="26"/>
          <w:szCs w:val="26"/>
        </w:rPr>
        <w:t xml:space="preserve">or GIS experience </w:t>
      </w:r>
      <w:r>
        <w:rPr>
          <w:rFonts w:ascii="Arial" w:hAnsi="Arial" w:cs="Arial"/>
          <w:sz w:val="26"/>
          <w:szCs w:val="26"/>
        </w:rPr>
        <w:t xml:space="preserve">(GEG 130 or GEG 211) </w:t>
      </w:r>
      <w:r w:rsidRPr="008E027E">
        <w:rPr>
          <w:rFonts w:ascii="Arial" w:eastAsia="Calibri" w:hAnsi="Arial" w:cs="Arial"/>
          <w:sz w:val="26"/>
          <w:szCs w:val="26"/>
        </w:rPr>
        <w:t>will be required to be successful in this course.</w:t>
      </w:r>
      <w:r>
        <w:rPr>
          <w:rFonts w:ascii="Arial" w:eastAsia="Calibri" w:hAnsi="Arial" w:cs="Arial"/>
          <w:sz w:val="26"/>
          <w:szCs w:val="26"/>
        </w:rPr>
        <w:br/>
      </w:r>
    </w:p>
    <w:tbl>
      <w:tblPr>
        <w:tblStyle w:val="TableGrid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688"/>
      </w:tblGrid>
      <w:tr w:rsidR="0018607D" w:rsidTr="00613BD6">
        <w:tc>
          <w:tcPr>
            <w:tcW w:w="109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9"/>
              <w:gridCol w:w="3150"/>
              <w:gridCol w:w="4031"/>
              <w:gridCol w:w="222"/>
            </w:tblGrid>
            <w:tr w:rsidR="00557FD8" w:rsidTr="00557FD8">
              <w:tc>
                <w:tcPr>
                  <w:tcW w:w="3416" w:type="dxa"/>
                </w:tcPr>
                <w:p w:rsidR="00557FD8" w:rsidRDefault="00557FD8" w:rsidP="008E027E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923420" cy="1625600"/>
                        <wp:effectExtent l="19050" t="0" r="63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8405" cy="1629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0" w:type="dxa"/>
                </w:tcPr>
                <w:p w:rsidR="00557FD8" w:rsidRDefault="004A0DEF" w:rsidP="008E027E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1221105</wp:posOffset>
                            </wp:positionV>
                            <wp:extent cx="2765425" cy="414655"/>
                            <wp:effectExtent l="0" t="3810" r="0" b="635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5425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6B35" w:rsidRDefault="00636B35">
                                        <w:r>
                                          <w:t>Geology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2.3pt;margin-top:96.15pt;width:217.75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bh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" filled="f" stroked="f">
                            <v:textbox style="mso-fit-shape-to-text:t">
                              <w:txbxContent>
                                <w:p w:rsidR="00636B35" w:rsidRDefault="00636B35">
                                  <w:r>
                                    <w:t>Geology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57FD8">
                    <w:rPr>
                      <w:noProof/>
                    </w:rPr>
                    <w:drawing>
                      <wp:inline distT="0" distB="0" distL="0" distR="0">
                        <wp:extent cx="1801092" cy="1651000"/>
                        <wp:effectExtent l="19050" t="0" r="8658" b="0"/>
                        <wp:docPr id="8" name="Picture 13" descr="http://www.landsat.org/dataservices/images/orth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andsat.org/dataservices/images/orth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666" cy="1658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4" w:type="dxa"/>
                </w:tcPr>
                <w:p w:rsidR="00557FD8" w:rsidRDefault="004A0DEF" w:rsidP="008E027E">
                  <w:pPr>
                    <w:rPr>
                      <w:noProof/>
                    </w:rPr>
                  </w:pPr>
                  <w:r>
                    <w:rPr>
                      <w:rFonts w:ascii="Arial" w:hAnsi="Arial" w:cs="Arial"/>
                      <w:noProof/>
                      <w:color w:val="1F497D" w:themeColor="text2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1111250</wp:posOffset>
                            </wp:positionV>
                            <wp:extent cx="2759710" cy="610870"/>
                            <wp:effectExtent l="4445" t="0" r="0" b="1905"/>
                            <wp:wrapNone/>
                            <wp:docPr id="1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59710" cy="610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6B35" w:rsidRDefault="00636B35" w:rsidP="00636B35">
                                        <w:r>
                                          <w:t xml:space="preserve">Land Use </w:t>
                                        </w:r>
                                        <w:r>
                                          <w:br/>
                                          <w:t>Change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" o:spid="_x0000_s1027" type="#_x0000_t202" style="position:absolute;margin-left:.3pt;margin-top:87.5pt;width:217.3pt;height:48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Bftw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" filled="f" stroked="f">
                            <v:textbox style="mso-fit-shape-to-text:t">
                              <w:txbxContent>
                                <w:p w:rsidR="00636B35" w:rsidRDefault="00636B35" w:rsidP="00636B35">
                                  <w:r>
                                    <w:t xml:space="preserve">Land Use </w:t>
                                  </w:r>
                                  <w:r>
                                    <w:br/>
                                    <w:t>Change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57FD8">
                    <w:rPr>
                      <w:noProof/>
                    </w:rPr>
                    <w:drawing>
                      <wp:inline distT="0" distB="0" distL="0" distR="0">
                        <wp:extent cx="2403918" cy="1647306"/>
                        <wp:effectExtent l="19050" t="0" r="0" b="0"/>
                        <wp:docPr id="16" name="Picture 16" descr="http://www.nasa.gov/images/content/634810main_Wadi_Saudi-4panel_6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nasa.gov/images/content/634810main_Wadi_Saudi-4panel_6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2759" cy="1653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" w:type="dxa"/>
                </w:tcPr>
                <w:p w:rsidR="00557FD8" w:rsidRDefault="00557FD8" w:rsidP="008E027E">
                  <w:pPr>
                    <w:rPr>
                      <w:noProof/>
                    </w:rPr>
                  </w:pPr>
                </w:p>
              </w:tc>
            </w:tr>
          </w:tbl>
          <w:p w:rsidR="0018607D" w:rsidRPr="008E027E" w:rsidRDefault="0018607D" w:rsidP="008E027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8E027E" w:rsidTr="0018607D">
        <w:tc>
          <w:tcPr>
            <w:tcW w:w="5310" w:type="dxa"/>
          </w:tcPr>
          <w:p w:rsidR="008E027E" w:rsidRPr="008E027E" w:rsidRDefault="008E027E" w:rsidP="008E027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E027E">
              <w:rPr>
                <w:rFonts w:ascii="Arial Black" w:hAnsi="Arial Black"/>
                <w:sz w:val="32"/>
                <w:szCs w:val="32"/>
              </w:rPr>
              <w:t>Students in this course</w:t>
            </w:r>
            <w:proofErr w:type="gramStart"/>
            <w:r w:rsidRPr="008E027E">
              <w:rPr>
                <w:rFonts w:ascii="Arial Black" w:hAnsi="Arial Black"/>
                <w:sz w:val="32"/>
                <w:szCs w:val="32"/>
              </w:rPr>
              <w:t>:</w:t>
            </w:r>
            <w:proofErr w:type="gramEnd"/>
            <w:r w:rsidRPr="008E027E">
              <w:rPr>
                <w:rFonts w:ascii="Arial Black" w:hAnsi="Arial Black"/>
                <w:sz w:val="32"/>
                <w:szCs w:val="32"/>
              </w:rPr>
              <w:br/>
            </w:r>
            <w:r w:rsidR="002858C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E027E">
              <w:rPr>
                <w:rFonts w:ascii="Arial" w:hAnsi="Arial" w:cs="Arial"/>
                <w:sz w:val="24"/>
                <w:szCs w:val="24"/>
              </w:rPr>
              <w:t>earn the fundamentals of Remote Sensing, map design, and Geography.</w:t>
            </w:r>
          </w:p>
          <w:p w:rsidR="008E027E" w:rsidRPr="008E027E" w:rsidRDefault="002858C0" w:rsidP="008E027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E027E">
              <w:rPr>
                <w:rFonts w:ascii="Arial" w:hAnsi="Arial" w:cs="Arial"/>
                <w:sz w:val="24"/>
                <w:szCs w:val="24"/>
              </w:rPr>
              <w:t>Develop</w:t>
            </w:r>
            <w:r w:rsidR="008E027E" w:rsidRPr="008E027E">
              <w:rPr>
                <w:rFonts w:ascii="Arial" w:hAnsi="Arial" w:cs="Arial"/>
                <w:sz w:val="24"/>
                <w:szCs w:val="24"/>
              </w:rPr>
              <w:t xml:space="preserve"> skills n</w:t>
            </w:r>
            <w:r>
              <w:rPr>
                <w:rFonts w:ascii="Arial" w:hAnsi="Arial" w:cs="Arial"/>
                <w:sz w:val="24"/>
                <w:szCs w:val="24"/>
              </w:rPr>
              <w:t>ecessary to create and acquire</w:t>
            </w:r>
            <w:r w:rsidR="008E027E" w:rsidRPr="008E02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remote sensing </w:t>
            </w:r>
            <w:r w:rsidR="008E027E" w:rsidRPr="008E027E">
              <w:rPr>
                <w:rFonts w:ascii="Arial" w:hAnsi="Arial" w:cs="Arial"/>
                <w:sz w:val="24"/>
                <w:szCs w:val="24"/>
              </w:rPr>
              <w:t>data and use Global Positioning System to assess accuracy.</w:t>
            </w:r>
          </w:p>
          <w:p w:rsidR="008E027E" w:rsidRPr="008E027E" w:rsidRDefault="002858C0" w:rsidP="008E027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E027E">
              <w:rPr>
                <w:rFonts w:ascii="Arial" w:hAnsi="Arial" w:cs="Arial"/>
                <w:sz w:val="24"/>
                <w:szCs w:val="24"/>
              </w:rPr>
              <w:t>U</w:t>
            </w:r>
            <w:r w:rsidR="008E027E" w:rsidRPr="008E027E">
              <w:rPr>
                <w:rFonts w:ascii="Arial" w:hAnsi="Arial" w:cs="Arial"/>
                <w:sz w:val="24"/>
                <w:szCs w:val="24"/>
              </w:rPr>
              <w:t>tilize Geospatial technology (</w:t>
            </w:r>
            <w:r>
              <w:rPr>
                <w:rFonts w:ascii="Arial" w:hAnsi="Arial" w:cs="Arial"/>
                <w:sz w:val="24"/>
                <w:szCs w:val="24"/>
              </w:rPr>
              <w:t>GIS</w:t>
            </w:r>
            <w:r w:rsidR="008E027E" w:rsidRPr="008E027E">
              <w:rPr>
                <w:rFonts w:ascii="Arial" w:hAnsi="Arial" w:cs="Arial"/>
                <w:sz w:val="24"/>
                <w:szCs w:val="24"/>
              </w:rPr>
              <w:t xml:space="preserve"> and Remote Sensing) to answer questions.</w:t>
            </w:r>
          </w:p>
          <w:p w:rsidR="008E027E" w:rsidRPr="008E027E" w:rsidRDefault="002858C0" w:rsidP="002858C0">
            <w:pPr>
              <w:pStyle w:val="PlainText"/>
            </w:pPr>
            <w:r>
              <w:rPr>
                <w:rFonts w:ascii="Arial" w:hAnsi="Arial" w:cs="Arial"/>
                <w:sz w:val="24"/>
                <w:szCs w:val="24"/>
              </w:rPr>
              <w:t xml:space="preserve">- Utilize ArcGIS, ENVI,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Pictometry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software</w:t>
            </w:r>
            <w:r w:rsidR="008E027E" w:rsidRPr="008E027E">
              <w:rPr>
                <w:rFonts w:ascii="Arial" w:hAnsi="Arial" w:cs="Arial"/>
                <w:sz w:val="24"/>
                <w:szCs w:val="24"/>
              </w:rPr>
              <w:t>.</w:t>
            </w:r>
            <w:r w:rsidR="008E027E">
              <w:t xml:space="preserve">  </w:t>
            </w:r>
          </w:p>
        </w:tc>
        <w:tc>
          <w:tcPr>
            <w:tcW w:w="5688" w:type="dxa"/>
          </w:tcPr>
          <w:p w:rsidR="008E027E" w:rsidRDefault="008E027E" w:rsidP="008E027E">
            <w:pPr>
              <w:rPr>
                <w:rFonts w:ascii="Arial Black" w:hAnsi="Arial Black"/>
                <w:sz w:val="32"/>
                <w:szCs w:val="32"/>
              </w:rPr>
            </w:pPr>
            <w:r w:rsidRPr="008E027E">
              <w:rPr>
                <w:rFonts w:ascii="Arial Black" w:hAnsi="Arial Black"/>
                <w:sz w:val="32"/>
                <w:szCs w:val="32"/>
              </w:rPr>
              <w:t>Topics Covered:</w:t>
            </w:r>
          </w:p>
          <w:p w:rsidR="002858C0" w:rsidRPr="008E027E" w:rsidRDefault="002858C0" w:rsidP="002858C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03997">
              <w:rPr>
                <w:rFonts w:ascii="Arial" w:hAnsi="Arial" w:cs="Arial"/>
                <w:sz w:val="24"/>
                <w:szCs w:val="24"/>
              </w:rPr>
              <w:t>Electromagnetic spectrum</w:t>
            </w:r>
          </w:p>
          <w:p w:rsidR="002858C0" w:rsidRDefault="002858C0" w:rsidP="002858C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Spatial and temporal resolution</w:t>
            </w:r>
            <w:r w:rsidR="00557FD8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Landsat data</w:t>
            </w:r>
          </w:p>
          <w:p w:rsidR="002858C0" w:rsidRDefault="002858C0" w:rsidP="002858C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Land cover and land use change</w:t>
            </w:r>
          </w:p>
          <w:p w:rsidR="002858C0" w:rsidRDefault="002858C0" w:rsidP="002858C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Wildfires</w:t>
            </w:r>
          </w:p>
          <w:p w:rsidR="002858C0" w:rsidRDefault="002858C0" w:rsidP="002858C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Supervised vs. unsupervised classification</w:t>
            </w:r>
          </w:p>
          <w:p w:rsidR="002858C0" w:rsidRDefault="002858C0" w:rsidP="002858C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ENVI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Pictometry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58C0" w:rsidRDefault="002858C0" w:rsidP="002858C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Lidar</w:t>
            </w:r>
            <w:proofErr w:type="spellEnd"/>
          </w:p>
          <w:p w:rsidR="002858C0" w:rsidRDefault="0006054F" w:rsidP="002858C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Biology/Ag/Climate/</w:t>
            </w:r>
            <w:r w:rsidR="002858C0">
              <w:rPr>
                <w:rFonts w:ascii="Arial" w:hAnsi="Arial" w:cs="Arial"/>
                <w:sz w:val="24"/>
                <w:szCs w:val="24"/>
              </w:rPr>
              <w:t>Geology applications</w:t>
            </w:r>
          </w:p>
          <w:p w:rsidR="008E027E" w:rsidRPr="002858C0" w:rsidRDefault="002858C0" w:rsidP="002858C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039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Individual Project</w:t>
            </w:r>
          </w:p>
        </w:tc>
      </w:tr>
      <w:tr w:rsidR="002858C0" w:rsidTr="0018607D">
        <w:tc>
          <w:tcPr>
            <w:tcW w:w="10998" w:type="dxa"/>
            <w:gridSpan w:val="2"/>
          </w:tcPr>
          <w:p w:rsidR="002858C0" w:rsidRPr="008E027E" w:rsidRDefault="002858C0" w:rsidP="008E027E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sz w:val="32"/>
                <w:szCs w:val="32"/>
              </w:rPr>
              <w:drawing>
                <wp:inline distT="0" distB="0" distL="0" distR="0">
                  <wp:extent cx="4768850" cy="16359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874" cy="16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F28">
              <w:rPr>
                <w:rFonts w:ascii="Arial Black" w:hAnsi="Arial Black"/>
                <w:sz w:val="32"/>
                <w:szCs w:val="32"/>
              </w:rPr>
              <w:t xml:space="preserve">     </w:t>
            </w:r>
            <w:r w:rsidR="00FF5F28" w:rsidRPr="00FF5F28">
              <w:rPr>
                <w:rFonts w:ascii="Arial Black" w:hAnsi="Arial Black"/>
                <w:noProof/>
                <w:sz w:val="32"/>
                <w:szCs w:val="32"/>
              </w:rPr>
              <w:drawing>
                <wp:inline distT="0" distB="0" distL="0" distR="0">
                  <wp:extent cx="1444883" cy="1574800"/>
                  <wp:effectExtent l="19050" t="0" r="2917" b="0"/>
                  <wp:docPr id="11" name="Picture 2" descr="MapPixel Group5_65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MapPixel Group5_65-1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95" r="234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262" cy="157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724" w:rsidRPr="00363724" w:rsidRDefault="002858C0" w:rsidP="008E027E">
      <w:pPr>
        <w:rPr>
          <w:rFonts w:ascii="Arial Black" w:hAnsi="Arial Black" w:cs="Arial"/>
          <w:sz w:val="18"/>
          <w:szCs w:val="18"/>
        </w:rPr>
      </w:pPr>
      <w:r w:rsidRPr="00557FD8">
        <w:rPr>
          <w:rFonts w:ascii="Arial Black" w:hAnsi="Arial Black"/>
          <w:sz w:val="32"/>
          <w:szCs w:val="32"/>
        </w:rPr>
        <w:t xml:space="preserve">Time: </w:t>
      </w:r>
      <w:r w:rsidR="0018607D" w:rsidRPr="00557FD8">
        <w:rPr>
          <w:rFonts w:ascii="Arial Black" w:hAnsi="Arial Black"/>
          <w:sz w:val="32"/>
          <w:szCs w:val="32"/>
        </w:rPr>
        <w:tab/>
      </w:r>
      <w:r w:rsidR="0018607D" w:rsidRPr="00557FD8">
        <w:rPr>
          <w:rFonts w:ascii="Arial Black" w:hAnsi="Arial Black"/>
          <w:sz w:val="32"/>
          <w:szCs w:val="32"/>
        </w:rPr>
        <w:tab/>
      </w:r>
      <w:r w:rsidRPr="00557FD8">
        <w:rPr>
          <w:rFonts w:ascii="Arial Black" w:hAnsi="Arial Black"/>
          <w:sz w:val="32"/>
          <w:szCs w:val="32"/>
        </w:rPr>
        <w:t>Faculty:</w:t>
      </w:r>
      <w:r w:rsidRPr="00557FD8">
        <w:rPr>
          <w:rFonts w:ascii="Arial Black" w:hAnsi="Arial Black"/>
          <w:sz w:val="32"/>
          <w:szCs w:val="32"/>
        </w:rPr>
        <w:tab/>
      </w:r>
      <w:r w:rsidRPr="00557FD8">
        <w:rPr>
          <w:rFonts w:ascii="Arial Black" w:hAnsi="Arial Black"/>
          <w:sz w:val="32"/>
          <w:szCs w:val="32"/>
        </w:rPr>
        <w:tab/>
      </w:r>
      <w:r w:rsidR="00F77C75">
        <w:rPr>
          <w:rFonts w:ascii="Arial Black" w:hAnsi="Arial Black"/>
          <w:sz w:val="32"/>
          <w:szCs w:val="32"/>
        </w:rPr>
        <w:tab/>
      </w:r>
      <w:r w:rsidRPr="00557FD8">
        <w:rPr>
          <w:rFonts w:ascii="Arial Black" w:hAnsi="Arial Black"/>
          <w:sz w:val="32"/>
          <w:szCs w:val="32"/>
        </w:rPr>
        <w:t>Registration</w:t>
      </w:r>
      <w:r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br/>
      </w:r>
      <w:r w:rsidR="00DF2EEB">
        <w:rPr>
          <w:rFonts w:ascii="Arial Black" w:hAnsi="Arial Black"/>
          <w:sz w:val="24"/>
          <w:szCs w:val="24"/>
        </w:rPr>
        <w:t>Tue/</w:t>
      </w:r>
      <w:proofErr w:type="spellStart"/>
      <w:r w:rsidR="00DF2EEB">
        <w:rPr>
          <w:rFonts w:ascii="Arial Black" w:hAnsi="Arial Black"/>
          <w:sz w:val="24"/>
          <w:szCs w:val="24"/>
        </w:rPr>
        <w:t>Th</w:t>
      </w:r>
      <w:proofErr w:type="spellEnd"/>
      <w:r w:rsidR="0018607D">
        <w:rPr>
          <w:rFonts w:ascii="Arial Black" w:hAnsi="Arial Black"/>
          <w:sz w:val="24"/>
          <w:szCs w:val="24"/>
        </w:rPr>
        <w:tab/>
      </w:r>
      <w:r w:rsidR="0018607D">
        <w:rPr>
          <w:rFonts w:ascii="Arial Black" w:hAnsi="Arial Black"/>
          <w:sz w:val="24"/>
          <w:szCs w:val="24"/>
        </w:rPr>
        <w:tab/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>Jonathon Little</w:t>
      </w:r>
      <w:r>
        <w:rPr>
          <w:rFonts w:ascii="Arial Black" w:hAnsi="Arial Black"/>
          <w:sz w:val="24"/>
          <w:szCs w:val="24"/>
        </w:rPr>
        <w:tab/>
      </w:r>
      <w:r w:rsidR="0018607D">
        <w:rPr>
          <w:rFonts w:ascii="Arial Black" w:hAnsi="Arial Black"/>
          <w:sz w:val="24"/>
          <w:szCs w:val="24"/>
        </w:rPr>
        <w:tab/>
      </w:r>
      <w:hyperlink r:id="rId12" w:history="1">
        <w:r w:rsidR="0018607D" w:rsidRPr="001F0F66">
          <w:rPr>
            <w:rStyle w:val="Hyperlink"/>
            <w:rFonts w:ascii="Arial Black" w:hAnsi="Arial Black"/>
            <w:sz w:val="20"/>
            <w:szCs w:val="20"/>
          </w:rPr>
          <w:t>http://www.monroecc.edu/depts/recreg/howtoreg.htm</w:t>
        </w:r>
      </w:hyperlink>
      <w:r w:rsidR="0018607D">
        <w:rPr>
          <w:rFonts w:ascii="Arial Black" w:hAnsi="Arial Black"/>
          <w:sz w:val="20"/>
          <w:szCs w:val="20"/>
        </w:rPr>
        <w:t xml:space="preserve"> </w:t>
      </w:r>
      <w:r w:rsidR="0018607D">
        <w:rPr>
          <w:rFonts w:ascii="Arial Black" w:hAnsi="Arial Black"/>
          <w:sz w:val="20"/>
          <w:szCs w:val="20"/>
        </w:rPr>
        <w:br/>
      </w:r>
      <w:r w:rsidR="00DF2EEB">
        <w:rPr>
          <w:rFonts w:ascii="Arial Black" w:hAnsi="Arial Black"/>
          <w:sz w:val="24"/>
          <w:szCs w:val="24"/>
        </w:rPr>
        <w:t>12:30</w:t>
      </w:r>
      <w:r w:rsidR="00DF2EEB">
        <w:rPr>
          <w:rFonts w:ascii="Arial Black" w:hAnsi="Arial Black"/>
          <w:sz w:val="24"/>
          <w:szCs w:val="24"/>
        </w:rPr>
        <w:t>-</w:t>
      </w:r>
      <w:r w:rsidR="00DF2EEB" w:rsidRPr="00DF2EEB">
        <w:rPr>
          <w:rFonts w:ascii="Arial Black" w:hAnsi="Arial Black"/>
          <w:sz w:val="24"/>
          <w:szCs w:val="24"/>
        </w:rPr>
        <w:t>1:50</w:t>
      </w:r>
      <w:r w:rsidR="00DF2EEB">
        <w:rPr>
          <w:rFonts w:ascii="Arial Black" w:hAnsi="Arial Black"/>
          <w:sz w:val="20"/>
          <w:szCs w:val="20"/>
        </w:rPr>
        <w:t xml:space="preserve">            </w:t>
      </w:r>
      <w:r w:rsidR="0018607D" w:rsidRPr="0018607D">
        <w:rPr>
          <w:rFonts w:ascii="Arial Black" w:hAnsi="Arial Black"/>
          <w:sz w:val="18"/>
          <w:szCs w:val="18"/>
        </w:rPr>
        <w:t xml:space="preserve">Email: </w:t>
      </w:r>
      <w:hyperlink r:id="rId13" w:history="1">
        <w:r w:rsidR="0018607D" w:rsidRPr="0018607D">
          <w:rPr>
            <w:rStyle w:val="Hyperlink"/>
            <w:rFonts w:ascii="Arial Black" w:hAnsi="Arial Black"/>
            <w:sz w:val="18"/>
            <w:szCs w:val="18"/>
          </w:rPr>
          <w:t>jlittle@monroecc.edu</w:t>
        </w:r>
      </w:hyperlink>
      <w:r w:rsidR="0018607D" w:rsidRPr="0018607D">
        <w:rPr>
          <w:rFonts w:ascii="Arial Black" w:hAnsi="Arial Black"/>
          <w:sz w:val="18"/>
          <w:szCs w:val="18"/>
        </w:rPr>
        <w:t xml:space="preserve"> </w:t>
      </w:r>
      <w:r w:rsidR="0018607D">
        <w:rPr>
          <w:rFonts w:ascii="Arial Black" w:hAnsi="Arial Black"/>
          <w:sz w:val="18"/>
          <w:szCs w:val="18"/>
        </w:rPr>
        <w:tab/>
      </w:r>
      <w:r w:rsidR="0018607D" w:rsidRPr="0018607D">
        <w:rPr>
          <w:rFonts w:ascii="Arial Black" w:hAnsi="Arial Black" w:cs="Arial"/>
          <w:sz w:val="18"/>
          <w:szCs w:val="18"/>
        </w:rPr>
        <w:t xml:space="preserve">Email </w:t>
      </w:r>
      <w:hyperlink r:id="rId14" w:history="1">
        <w:r w:rsidR="0018607D" w:rsidRPr="0018607D">
          <w:rPr>
            <w:rStyle w:val="Hyperlink"/>
            <w:rFonts w:ascii="Arial Black" w:hAnsi="Arial Black" w:cs="Arial"/>
            <w:sz w:val="18"/>
            <w:szCs w:val="18"/>
          </w:rPr>
          <w:t>registration@monroecc.edu</w:t>
        </w:r>
      </w:hyperlink>
      <w:r w:rsidR="00363724">
        <w:rPr>
          <w:rFonts w:ascii="Arial Black" w:hAnsi="Arial Black" w:cs="Arial"/>
          <w:sz w:val="18"/>
          <w:szCs w:val="18"/>
        </w:rPr>
        <w:br/>
      </w:r>
      <w:r w:rsidR="00363724">
        <w:rPr>
          <w:rFonts w:ascii="Arial Black" w:hAnsi="Arial Black" w:cs="Arial"/>
          <w:sz w:val="18"/>
          <w:szCs w:val="18"/>
        </w:rPr>
        <w:tab/>
      </w:r>
      <w:r w:rsidR="00363724">
        <w:rPr>
          <w:rFonts w:ascii="Arial Black" w:hAnsi="Arial Black" w:cs="Arial"/>
          <w:sz w:val="18"/>
          <w:szCs w:val="18"/>
        </w:rPr>
        <w:tab/>
      </w:r>
      <w:r w:rsidR="00363724">
        <w:rPr>
          <w:rFonts w:ascii="Arial Black" w:hAnsi="Arial Black" w:cs="Arial"/>
          <w:sz w:val="18"/>
          <w:szCs w:val="18"/>
        </w:rPr>
        <w:tab/>
        <w:t>Phone 585-292-2396</w:t>
      </w:r>
    </w:p>
    <w:sectPr w:rsidR="00363724" w:rsidRPr="00363724" w:rsidSect="008E027E">
      <w:pgSz w:w="12240" w:h="15840"/>
      <w:pgMar w:top="540" w:right="720" w:bottom="540" w:left="63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2A28"/>
    <w:multiLevelType w:val="hybridMultilevel"/>
    <w:tmpl w:val="57F0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7E"/>
    <w:rsid w:val="0006054F"/>
    <w:rsid w:val="00111649"/>
    <w:rsid w:val="0018607D"/>
    <w:rsid w:val="002858C0"/>
    <w:rsid w:val="00363724"/>
    <w:rsid w:val="003D47F1"/>
    <w:rsid w:val="004509A0"/>
    <w:rsid w:val="004A0DEF"/>
    <w:rsid w:val="00503997"/>
    <w:rsid w:val="00557FD8"/>
    <w:rsid w:val="00636B35"/>
    <w:rsid w:val="006C186D"/>
    <w:rsid w:val="00880681"/>
    <w:rsid w:val="008E027E"/>
    <w:rsid w:val="00922993"/>
    <w:rsid w:val="00AC19C5"/>
    <w:rsid w:val="00AE5B5D"/>
    <w:rsid w:val="00BC36AC"/>
    <w:rsid w:val="00DF2EEB"/>
    <w:rsid w:val="00E03A54"/>
    <w:rsid w:val="00F77C75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E027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027E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E0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E027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027E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E0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little@monroecc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monroecc.edu/depts/recreg/howtoreg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registration@monro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User</dc:creator>
  <cp:lastModifiedBy>Monroe Community College</cp:lastModifiedBy>
  <cp:revision>3</cp:revision>
  <cp:lastPrinted>2013-12-11T17:33:00Z</cp:lastPrinted>
  <dcterms:created xsi:type="dcterms:W3CDTF">2014-03-06T19:58:00Z</dcterms:created>
  <dcterms:modified xsi:type="dcterms:W3CDTF">2014-03-06T20:00:00Z</dcterms:modified>
</cp:coreProperties>
</file>