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6AA5" w14:textId="2BE74CBC" w:rsidR="00660021" w:rsidRPr="0030036F" w:rsidRDefault="00413D23" w:rsidP="0030036F">
      <w:pPr>
        <w:spacing w:after="0" w:line="240" w:lineRule="auto"/>
        <w:rPr>
          <w:rFonts w:ascii="Times New Roman" w:eastAsia="Times New Roman" w:hAnsi="Times New Roman" w:cs="Times New Roman"/>
          <w:sz w:val="20"/>
          <w:szCs w:val="20"/>
        </w:rPr>
      </w:pPr>
      <w:r w:rsidRPr="00894F03">
        <w:rPr>
          <w:rFonts w:ascii="Arial" w:hAnsi="Arial" w:cs="Arial"/>
          <w:b/>
          <w:noProof/>
        </w:rPr>
        <w:drawing>
          <wp:inline distT="0" distB="0" distL="0" distR="0" wp14:anchorId="38A5420C" wp14:editId="482B89B9">
            <wp:extent cx="2038350" cy="828675"/>
            <wp:effectExtent l="0" t="0" r="0" b="952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inline>
        </w:drawing>
      </w:r>
    </w:p>
    <w:p w14:paraId="67BB4E5B" w14:textId="77777777" w:rsidR="00660021" w:rsidRDefault="00660021">
      <w:pPr>
        <w:spacing w:before="13" w:after="0" w:line="240" w:lineRule="exact"/>
        <w:rPr>
          <w:sz w:val="24"/>
          <w:szCs w:val="24"/>
        </w:rPr>
      </w:pPr>
    </w:p>
    <w:p w14:paraId="5830CBE2" w14:textId="77777777" w:rsidR="006C570B" w:rsidRDefault="00413D23" w:rsidP="006C570B">
      <w:pPr>
        <w:spacing w:after="0" w:line="240" w:lineRule="auto"/>
        <w:ind w:right="36"/>
        <w:jc w:val="center"/>
        <w:rPr>
          <w:rFonts w:ascii="Arial" w:eastAsia="Arial" w:hAnsi="Arial" w:cs="Arial"/>
          <w:b/>
          <w:bCs/>
          <w:spacing w:val="1"/>
          <w:sz w:val="32"/>
          <w:szCs w:val="32"/>
        </w:rPr>
      </w:pPr>
      <w:r w:rsidRPr="0030036F">
        <w:rPr>
          <w:rFonts w:ascii="Arial" w:eastAsia="Arial" w:hAnsi="Arial" w:cs="Arial"/>
          <w:b/>
          <w:bCs/>
          <w:spacing w:val="1"/>
          <w:sz w:val="32"/>
          <w:szCs w:val="32"/>
        </w:rPr>
        <w:t>I</w:t>
      </w:r>
      <w:r w:rsidRPr="0030036F">
        <w:rPr>
          <w:rFonts w:ascii="Arial" w:eastAsia="Arial" w:hAnsi="Arial" w:cs="Arial"/>
          <w:b/>
          <w:bCs/>
          <w:sz w:val="32"/>
          <w:szCs w:val="32"/>
        </w:rPr>
        <w:t>n</w:t>
      </w:r>
      <w:r w:rsidRPr="0030036F">
        <w:rPr>
          <w:rFonts w:ascii="Arial" w:eastAsia="Arial" w:hAnsi="Arial" w:cs="Arial"/>
          <w:b/>
          <w:bCs/>
          <w:spacing w:val="-1"/>
          <w:sz w:val="32"/>
          <w:szCs w:val="32"/>
        </w:rPr>
        <w:t>s</w:t>
      </w:r>
      <w:r w:rsidRPr="0030036F">
        <w:rPr>
          <w:rFonts w:ascii="Arial" w:eastAsia="Arial" w:hAnsi="Arial" w:cs="Arial"/>
          <w:b/>
          <w:bCs/>
          <w:spacing w:val="-2"/>
          <w:sz w:val="32"/>
          <w:szCs w:val="32"/>
        </w:rPr>
        <w:t>t</w:t>
      </w:r>
      <w:r w:rsidRPr="0030036F">
        <w:rPr>
          <w:rFonts w:ascii="Arial" w:eastAsia="Arial" w:hAnsi="Arial" w:cs="Arial"/>
          <w:b/>
          <w:bCs/>
          <w:spacing w:val="1"/>
          <w:sz w:val="32"/>
          <w:szCs w:val="32"/>
        </w:rPr>
        <w:t>it</w:t>
      </w:r>
      <w:r w:rsidRPr="0030036F">
        <w:rPr>
          <w:rFonts w:ascii="Arial" w:eastAsia="Arial" w:hAnsi="Arial" w:cs="Arial"/>
          <w:b/>
          <w:bCs/>
          <w:sz w:val="32"/>
          <w:szCs w:val="32"/>
        </w:rPr>
        <w:t>u</w:t>
      </w:r>
      <w:r w:rsidRPr="0030036F">
        <w:rPr>
          <w:rFonts w:ascii="Arial" w:eastAsia="Arial" w:hAnsi="Arial" w:cs="Arial"/>
          <w:b/>
          <w:bCs/>
          <w:spacing w:val="-2"/>
          <w:sz w:val="32"/>
          <w:szCs w:val="32"/>
        </w:rPr>
        <w:t>t</w:t>
      </w:r>
      <w:r w:rsidR="00FB2EC2">
        <w:rPr>
          <w:rFonts w:ascii="Arial" w:eastAsia="Arial" w:hAnsi="Arial" w:cs="Arial"/>
          <w:b/>
          <w:bCs/>
          <w:sz w:val="32"/>
          <w:szCs w:val="32"/>
        </w:rPr>
        <w:t xml:space="preserve">e #5: Career and </w:t>
      </w:r>
      <w:r w:rsidR="006C570B">
        <w:rPr>
          <w:rFonts w:ascii="Arial" w:eastAsia="Arial" w:hAnsi="Arial" w:cs="Arial"/>
          <w:b/>
          <w:bCs/>
          <w:sz w:val="32"/>
          <w:szCs w:val="32"/>
        </w:rPr>
        <w:t>T</w:t>
      </w:r>
      <w:r w:rsidR="00FB2EC2">
        <w:rPr>
          <w:rFonts w:ascii="Arial" w:eastAsia="Arial" w:hAnsi="Arial" w:cs="Arial"/>
          <w:b/>
          <w:bCs/>
          <w:sz w:val="32"/>
          <w:szCs w:val="32"/>
        </w:rPr>
        <w:t>ransfer Pathways</w:t>
      </w:r>
      <w:r w:rsidRPr="0030036F">
        <w:rPr>
          <w:rFonts w:ascii="Arial" w:eastAsia="Arial" w:hAnsi="Arial" w:cs="Arial"/>
          <w:b/>
          <w:bCs/>
          <w:spacing w:val="1"/>
          <w:sz w:val="32"/>
          <w:szCs w:val="32"/>
        </w:rPr>
        <w:t xml:space="preserve"> </w:t>
      </w:r>
    </w:p>
    <w:p w14:paraId="322E28E6" w14:textId="77777777" w:rsidR="00B9420D" w:rsidRDefault="00B9420D" w:rsidP="00636C34">
      <w:pPr>
        <w:spacing w:after="0" w:line="240" w:lineRule="auto"/>
        <w:ind w:right="36"/>
        <w:rPr>
          <w:rFonts w:ascii="Arial" w:eastAsia="Arial" w:hAnsi="Arial" w:cs="Arial"/>
          <w:b/>
          <w:bCs/>
          <w:spacing w:val="-6"/>
          <w:sz w:val="32"/>
          <w:szCs w:val="32"/>
        </w:rPr>
      </w:pPr>
    </w:p>
    <w:p w14:paraId="4F808844" w14:textId="382D3E06" w:rsidR="00636C34" w:rsidRDefault="00807BC4" w:rsidP="00636C34">
      <w:pPr>
        <w:spacing w:after="0" w:line="240" w:lineRule="auto"/>
        <w:ind w:right="36"/>
        <w:jc w:val="center"/>
        <w:rPr>
          <w:rFonts w:ascii="Arial" w:eastAsia="Arial" w:hAnsi="Arial" w:cs="Arial"/>
          <w:b/>
          <w:bCs/>
          <w:sz w:val="32"/>
          <w:szCs w:val="32"/>
        </w:rPr>
      </w:pPr>
      <w:r>
        <w:rPr>
          <w:rFonts w:ascii="Arial" w:eastAsia="Arial" w:hAnsi="Arial" w:cs="Arial"/>
          <w:b/>
          <w:bCs/>
          <w:spacing w:val="-6"/>
          <w:sz w:val="32"/>
          <w:szCs w:val="32"/>
        </w:rPr>
        <w:t>Pre-w</w:t>
      </w:r>
      <w:r w:rsidR="00636C34">
        <w:rPr>
          <w:rFonts w:ascii="Arial" w:eastAsia="Arial" w:hAnsi="Arial" w:cs="Arial"/>
          <w:b/>
          <w:bCs/>
          <w:spacing w:val="-6"/>
          <w:sz w:val="32"/>
          <w:szCs w:val="32"/>
        </w:rPr>
        <w:t>ork</w:t>
      </w:r>
    </w:p>
    <w:p w14:paraId="3B5F080B" w14:textId="10F87432" w:rsidR="00B9420D" w:rsidRPr="00B9420D" w:rsidRDefault="00B9420D" w:rsidP="00636C34">
      <w:pPr>
        <w:spacing w:after="0" w:line="240" w:lineRule="auto"/>
        <w:ind w:right="36"/>
        <w:jc w:val="center"/>
        <w:rPr>
          <w:rFonts w:ascii="Arial" w:eastAsia="Arial" w:hAnsi="Arial" w:cs="Arial"/>
          <w:b/>
          <w:bCs/>
          <w:sz w:val="32"/>
          <w:szCs w:val="32"/>
        </w:rPr>
      </w:pPr>
      <w:r w:rsidRPr="00B9420D">
        <w:rPr>
          <w:rFonts w:ascii="Arial" w:eastAsia="Arial" w:hAnsi="Arial" w:cs="Arial"/>
          <w:b/>
          <w:bCs/>
          <w:spacing w:val="1"/>
          <w:position w:val="-1"/>
          <w:sz w:val="32"/>
          <w:szCs w:val="32"/>
        </w:rPr>
        <w:t>O</w:t>
      </w:r>
      <w:r w:rsidRPr="00B9420D">
        <w:rPr>
          <w:rFonts w:ascii="Arial" w:eastAsia="Arial" w:hAnsi="Arial" w:cs="Arial"/>
          <w:b/>
          <w:bCs/>
          <w:spacing w:val="-1"/>
          <w:position w:val="-1"/>
          <w:sz w:val="32"/>
          <w:szCs w:val="32"/>
        </w:rPr>
        <w:t>VERV</w:t>
      </w:r>
      <w:r w:rsidRPr="00B9420D">
        <w:rPr>
          <w:rFonts w:ascii="Arial" w:eastAsia="Arial" w:hAnsi="Arial" w:cs="Arial"/>
          <w:b/>
          <w:bCs/>
          <w:spacing w:val="1"/>
          <w:position w:val="-1"/>
          <w:sz w:val="32"/>
          <w:szCs w:val="32"/>
        </w:rPr>
        <w:t>I</w:t>
      </w:r>
      <w:r w:rsidRPr="00B9420D">
        <w:rPr>
          <w:rFonts w:ascii="Arial" w:eastAsia="Arial" w:hAnsi="Arial" w:cs="Arial"/>
          <w:b/>
          <w:bCs/>
          <w:spacing w:val="-1"/>
          <w:position w:val="-1"/>
          <w:sz w:val="32"/>
          <w:szCs w:val="32"/>
        </w:rPr>
        <w:t>E</w:t>
      </w:r>
      <w:r w:rsidRPr="00B9420D">
        <w:rPr>
          <w:rFonts w:ascii="Arial" w:eastAsia="Arial" w:hAnsi="Arial" w:cs="Arial"/>
          <w:b/>
          <w:bCs/>
          <w:position w:val="-1"/>
          <w:sz w:val="32"/>
          <w:szCs w:val="32"/>
        </w:rPr>
        <w:t>W</w:t>
      </w:r>
      <w:r w:rsidRPr="00B9420D">
        <w:rPr>
          <w:rFonts w:ascii="Arial" w:eastAsia="Arial" w:hAnsi="Arial" w:cs="Arial"/>
          <w:b/>
          <w:bCs/>
          <w:spacing w:val="4"/>
          <w:position w:val="-1"/>
          <w:sz w:val="32"/>
          <w:szCs w:val="32"/>
        </w:rPr>
        <w:t xml:space="preserve"> </w:t>
      </w:r>
      <w:r w:rsidRPr="00B9420D">
        <w:rPr>
          <w:rFonts w:ascii="Arial" w:eastAsia="Arial" w:hAnsi="Arial" w:cs="Arial"/>
          <w:b/>
          <w:bCs/>
          <w:spacing w:val="-8"/>
          <w:position w:val="-1"/>
          <w:sz w:val="32"/>
          <w:szCs w:val="32"/>
        </w:rPr>
        <w:t>A</w:t>
      </w:r>
      <w:r w:rsidRPr="00B9420D">
        <w:rPr>
          <w:rFonts w:ascii="Arial" w:eastAsia="Arial" w:hAnsi="Arial" w:cs="Arial"/>
          <w:b/>
          <w:bCs/>
          <w:spacing w:val="-1"/>
          <w:position w:val="-1"/>
          <w:sz w:val="32"/>
          <w:szCs w:val="32"/>
        </w:rPr>
        <w:t>N</w:t>
      </w:r>
      <w:r w:rsidRPr="00B9420D">
        <w:rPr>
          <w:rFonts w:ascii="Arial" w:eastAsia="Arial" w:hAnsi="Arial" w:cs="Arial"/>
          <w:b/>
          <w:bCs/>
          <w:position w:val="-1"/>
          <w:sz w:val="32"/>
          <w:szCs w:val="32"/>
        </w:rPr>
        <w:t xml:space="preserve">D </w:t>
      </w:r>
      <w:r w:rsidRPr="00B9420D">
        <w:rPr>
          <w:rFonts w:ascii="Arial" w:eastAsia="Arial" w:hAnsi="Arial" w:cs="Arial"/>
          <w:b/>
          <w:bCs/>
          <w:spacing w:val="1"/>
          <w:position w:val="-1"/>
          <w:sz w:val="32"/>
          <w:szCs w:val="32"/>
        </w:rPr>
        <w:t>I</w:t>
      </w:r>
      <w:r w:rsidRPr="00B9420D">
        <w:rPr>
          <w:rFonts w:ascii="Arial" w:eastAsia="Arial" w:hAnsi="Arial" w:cs="Arial"/>
          <w:b/>
          <w:bCs/>
          <w:spacing w:val="-1"/>
          <w:position w:val="-1"/>
          <w:sz w:val="32"/>
          <w:szCs w:val="32"/>
        </w:rPr>
        <w:t>NS</w:t>
      </w:r>
      <w:r w:rsidRPr="00B9420D">
        <w:rPr>
          <w:rFonts w:ascii="Arial" w:eastAsia="Arial" w:hAnsi="Arial" w:cs="Arial"/>
          <w:b/>
          <w:bCs/>
          <w:position w:val="-1"/>
          <w:sz w:val="32"/>
          <w:szCs w:val="32"/>
        </w:rPr>
        <w:t>T</w:t>
      </w:r>
      <w:r w:rsidRPr="00B9420D">
        <w:rPr>
          <w:rFonts w:ascii="Arial" w:eastAsia="Arial" w:hAnsi="Arial" w:cs="Arial"/>
          <w:b/>
          <w:bCs/>
          <w:spacing w:val="1"/>
          <w:position w:val="-1"/>
          <w:sz w:val="32"/>
          <w:szCs w:val="32"/>
        </w:rPr>
        <w:t>R</w:t>
      </w:r>
      <w:r w:rsidRPr="00B9420D">
        <w:rPr>
          <w:rFonts w:ascii="Arial" w:eastAsia="Arial" w:hAnsi="Arial" w:cs="Arial"/>
          <w:b/>
          <w:bCs/>
          <w:spacing w:val="-1"/>
          <w:position w:val="-1"/>
          <w:sz w:val="32"/>
          <w:szCs w:val="32"/>
        </w:rPr>
        <w:t>UC</w:t>
      </w:r>
      <w:r w:rsidRPr="00B9420D">
        <w:rPr>
          <w:rFonts w:ascii="Arial" w:eastAsia="Arial" w:hAnsi="Arial" w:cs="Arial"/>
          <w:b/>
          <w:bCs/>
          <w:spacing w:val="-3"/>
          <w:position w:val="-1"/>
          <w:sz w:val="32"/>
          <w:szCs w:val="32"/>
        </w:rPr>
        <w:t>T</w:t>
      </w:r>
      <w:r w:rsidRPr="00B9420D">
        <w:rPr>
          <w:rFonts w:ascii="Arial" w:eastAsia="Arial" w:hAnsi="Arial" w:cs="Arial"/>
          <w:b/>
          <w:bCs/>
          <w:spacing w:val="1"/>
          <w:position w:val="-1"/>
          <w:sz w:val="32"/>
          <w:szCs w:val="32"/>
        </w:rPr>
        <w:t>IO</w:t>
      </w:r>
      <w:r w:rsidRPr="00B9420D">
        <w:rPr>
          <w:rFonts w:ascii="Arial" w:eastAsia="Arial" w:hAnsi="Arial" w:cs="Arial"/>
          <w:b/>
          <w:bCs/>
          <w:spacing w:val="-1"/>
          <w:position w:val="-1"/>
          <w:sz w:val="32"/>
          <w:szCs w:val="32"/>
        </w:rPr>
        <w:t>N</w:t>
      </w:r>
      <w:r w:rsidRPr="00B9420D">
        <w:rPr>
          <w:rFonts w:ascii="Arial" w:eastAsia="Arial" w:hAnsi="Arial" w:cs="Arial"/>
          <w:b/>
          <w:bCs/>
          <w:position w:val="-1"/>
          <w:sz w:val="32"/>
          <w:szCs w:val="32"/>
        </w:rPr>
        <w:t xml:space="preserve">S   </w:t>
      </w:r>
    </w:p>
    <w:p w14:paraId="3DEFA424" w14:textId="77777777" w:rsidR="00B9420D" w:rsidRDefault="00B9420D" w:rsidP="00B9420D">
      <w:pPr>
        <w:pStyle w:val="ListParagraph"/>
        <w:widowControl/>
        <w:spacing w:after="0" w:line="259" w:lineRule="auto"/>
        <w:rPr>
          <w:rFonts w:ascii="Arial" w:hAnsi="Arial" w:cs="Arial"/>
          <w:b/>
          <w:bCs/>
        </w:rPr>
      </w:pPr>
    </w:p>
    <w:p w14:paraId="03CF1B82" w14:textId="77777777" w:rsidR="00B9420D" w:rsidRDefault="00B9420D" w:rsidP="00B9420D">
      <w:pPr>
        <w:pStyle w:val="ListParagraph"/>
        <w:widowControl/>
        <w:spacing w:after="0" w:line="259" w:lineRule="auto"/>
        <w:rPr>
          <w:rFonts w:ascii="Arial" w:hAnsi="Arial" w:cs="Arial"/>
          <w:b/>
          <w:bCs/>
        </w:rPr>
      </w:pPr>
    </w:p>
    <w:p w14:paraId="1C8E6374" w14:textId="3EC0D503" w:rsidR="00FB2EC2" w:rsidRPr="003F5F4F" w:rsidRDefault="00807BC4" w:rsidP="00B64E5B">
      <w:pPr>
        <w:pStyle w:val="ListParagraph"/>
        <w:widowControl/>
        <w:numPr>
          <w:ilvl w:val="0"/>
          <w:numId w:val="19"/>
        </w:numPr>
        <w:spacing w:after="0" w:line="259" w:lineRule="auto"/>
        <w:rPr>
          <w:rFonts w:ascii="Arial" w:hAnsi="Arial" w:cs="Arial"/>
          <w:b/>
          <w:bCs/>
        </w:rPr>
      </w:pPr>
      <w:r>
        <w:rPr>
          <w:rFonts w:ascii="Arial" w:hAnsi="Arial" w:cs="Arial"/>
          <w:b/>
          <w:bCs/>
        </w:rPr>
        <w:t>Pre-w</w:t>
      </w:r>
      <w:r w:rsidR="00FB2EC2" w:rsidRPr="003F5F4F">
        <w:rPr>
          <w:rFonts w:ascii="Arial" w:hAnsi="Arial" w:cs="Arial"/>
          <w:b/>
          <w:bCs/>
        </w:rPr>
        <w:t xml:space="preserve">ork Reading -- </w:t>
      </w:r>
      <w:hyperlink r:id="rId8" w:history="1">
        <w:r w:rsidR="00FB2EC2" w:rsidRPr="00FB2EC2">
          <w:rPr>
            <w:rStyle w:val="Hyperlink"/>
            <w:rFonts w:ascii="Arial" w:hAnsi="Arial" w:cs="Arial"/>
            <w:b/>
            <w:bCs/>
          </w:rPr>
          <w:t xml:space="preserve">The Transfer Playbook: Essential Practices for Two- and Four-Year Colleges </w:t>
        </w:r>
      </w:hyperlink>
      <w:r w:rsidR="00FB2EC2" w:rsidRPr="003F5F4F">
        <w:rPr>
          <w:rFonts w:ascii="Arial" w:hAnsi="Arial" w:cs="Arial"/>
          <w:b/>
          <w:bCs/>
        </w:rPr>
        <w:t xml:space="preserve"> </w:t>
      </w:r>
    </w:p>
    <w:p w14:paraId="12E1C92E" w14:textId="77777777" w:rsidR="00B9420D" w:rsidRDefault="00B9420D" w:rsidP="00B64E5B">
      <w:pPr>
        <w:pStyle w:val="ListParagraph"/>
        <w:spacing w:after="0"/>
        <w:rPr>
          <w:rFonts w:ascii="Arial" w:hAnsi="Arial" w:cs="Arial"/>
          <w:bCs/>
        </w:rPr>
      </w:pPr>
    </w:p>
    <w:p w14:paraId="1D8A1619" w14:textId="7E081635" w:rsidR="00FB2EC2" w:rsidRDefault="004B45A0" w:rsidP="00B64E5B">
      <w:pPr>
        <w:pStyle w:val="ListParagraph"/>
        <w:spacing w:after="0"/>
        <w:rPr>
          <w:rFonts w:ascii="Arial" w:hAnsi="Arial" w:cs="Arial"/>
          <w:bCs/>
        </w:rPr>
      </w:pPr>
      <w:r>
        <w:rPr>
          <w:rFonts w:ascii="Arial" w:hAnsi="Arial" w:cs="Arial"/>
          <w:bCs/>
        </w:rPr>
        <w:t>To be prepared for your meeting, h</w:t>
      </w:r>
      <w:bookmarkStart w:id="0" w:name="_GoBack"/>
      <w:bookmarkEnd w:id="0"/>
      <w:r w:rsidR="00FB2EC2" w:rsidRPr="00B64E5B">
        <w:rPr>
          <w:rFonts w:ascii="Arial" w:hAnsi="Arial" w:cs="Arial"/>
          <w:bCs/>
        </w:rPr>
        <w:t xml:space="preserve">ave all members of your core </w:t>
      </w:r>
      <w:r w:rsidR="00E66C20">
        <w:rPr>
          <w:rFonts w:ascii="Arial" w:hAnsi="Arial" w:cs="Arial"/>
          <w:bCs/>
        </w:rPr>
        <w:t xml:space="preserve">pathways </w:t>
      </w:r>
      <w:r w:rsidR="00FB2EC2" w:rsidRPr="00B64E5B">
        <w:rPr>
          <w:rFonts w:ascii="Arial" w:hAnsi="Arial" w:cs="Arial"/>
          <w:bCs/>
        </w:rPr>
        <w:t>team read</w:t>
      </w:r>
      <w:r w:rsidR="00C74101">
        <w:rPr>
          <w:rFonts w:ascii="Arial" w:hAnsi="Arial" w:cs="Arial"/>
          <w:bCs/>
        </w:rPr>
        <w:t xml:space="preserve"> and take notes on</w:t>
      </w:r>
      <w:r w:rsidR="00FB2EC2" w:rsidRPr="00B64E5B">
        <w:rPr>
          <w:rFonts w:ascii="Arial" w:hAnsi="Arial" w:cs="Arial"/>
          <w:bCs/>
        </w:rPr>
        <w:t xml:space="preserve"> the Aspen Institute and CCRC authored Transfer Playbook.</w:t>
      </w:r>
      <w:r w:rsidR="00B736D1" w:rsidRPr="00B64E5B">
        <w:rPr>
          <w:rFonts w:ascii="Arial" w:hAnsi="Arial" w:cs="Arial"/>
          <w:bCs/>
        </w:rPr>
        <w:t xml:space="preserve"> </w:t>
      </w:r>
    </w:p>
    <w:p w14:paraId="0C8012BB" w14:textId="77777777" w:rsidR="00B9420D" w:rsidRPr="00B64E5B" w:rsidRDefault="00B9420D" w:rsidP="00B64E5B">
      <w:pPr>
        <w:pStyle w:val="ListParagraph"/>
        <w:spacing w:after="0"/>
        <w:rPr>
          <w:rFonts w:ascii="Arial" w:hAnsi="Arial" w:cs="Arial"/>
          <w:bCs/>
        </w:rPr>
      </w:pPr>
    </w:p>
    <w:p w14:paraId="355DFAD2" w14:textId="58C7A4CB" w:rsidR="00FB2EC2" w:rsidRDefault="00FB2EC2" w:rsidP="00FB2EC2">
      <w:pPr>
        <w:spacing w:after="0"/>
        <w:rPr>
          <w:rFonts w:ascii="Arial" w:hAnsi="Arial" w:cs="Arial"/>
          <w:bCs/>
        </w:rPr>
      </w:pPr>
    </w:p>
    <w:p w14:paraId="693940EE" w14:textId="7E9E72DE" w:rsidR="00FB2EC2" w:rsidRPr="00B64E5B" w:rsidRDefault="00FB2EC2" w:rsidP="00B64E5B">
      <w:pPr>
        <w:pStyle w:val="ListParagraph"/>
        <w:widowControl/>
        <w:numPr>
          <w:ilvl w:val="0"/>
          <w:numId w:val="19"/>
        </w:numPr>
        <w:spacing w:after="160" w:line="259" w:lineRule="auto"/>
        <w:rPr>
          <w:rFonts w:ascii="Arial" w:hAnsi="Arial" w:cs="Arial"/>
          <w:b/>
        </w:rPr>
      </w:pPr>
      <w:r w:rsidRPr="00B64E5B">
        <w:rPr>
          <w:rFonts w:ascii="Arial" w:hAnsi="Arial" w:cs="Arial"/>
          <w:b/>
        </w:rPr>
        <w:t>The Transfer Playbook: Tool for Assessing Progress toward Adoption of Essential Transfer Practices for Community Colleges</w:t>
      </w:r>
    </w:p>
    <w:p w14:paraId="547CD7DB" w14:textId="0A8E9D64" w:rsidR="00FB2EC2" w:rsidRDefault="00FB2EC2" w:rsidP="00FB2EC2">
      <w:pPr>
        <w:ind w:left="720"/>
        <w:rPr>
          <w:rFonts w:ascii="Arial" w:hAnsi="Arial" w:cs="Arial"/>
        </w:rPr>
      </w:pPr>
      <w:r w:rsidRPr="007B526F">
        <w:rPr>
          <w:rFonts w:ascii="Arial" w:hAnsi="Arial" w:cs="Arial"/>
        </w:rPr>
        <w:t xml:space="preserve">After reading the </w:t>
      </w:r>
      <w:r w:rsidRPr="007B526F">
        <w:rPr>
          <w:rFonts w:ascii="Arial" w:hAnsi="Arial" w:cs="Arial"/>
          <w:i/>
        </w:rPr>
        <w:t>Transfer Playbook</w:t>
      </w:r>
      <w:r w:rsidRPr="007B526F">
        <w:rPr>
          <w:rFonts w:ascii="Arial" w:hAnsi="Arial" w:cs="Arial"/>
        </w:rPr>
        <w:t xml:space="preserve">, convene your </w:t>
      </w:r>
      <w:r w:rsidR="00E66C20">
        <w:rPr>
          <w:rFonts w:ascii="Arial" w:hAnsi="Arial" w:cs="Arial"/>
        </w:rPr>
        <w:t xml:space="preserve">core </w:t>
      </w:r>
      <w:r w:rsidR="00C74101">
        <w:rPr>
          <w:rFonts w:ascii="Arial" w:hAnsi="Arial" w:cs="Arial"/>
        </w:rPr>
        <w:t xml:space="preserve">pathways team and as a group and review </w:t>
      </w:r>
      <w:r w:rsidR="00C74101" w:rsidRPr="007B526F">
        <w:rPr>
          <w:rFonts w:ascii="Arial" w:hAnsi="Arial" w:cs="Arial"/>
        </w:rPr>
        <w:t>the</w:t>
      </w:r>
      <w:r w:rsidRPr="007B526F">
        <w:rPr>
          <w:rFonts w:ascii="Arial" w:hAnsi="Arial" w:cs="Arial"/>
        </w:rPr>
        <w:t xml:space="preserve"> </w:t>
      </w:r>
      <w:r w:rsidRPr="007B526F">
        <w:rPr>
          <w:rFonts w:ascii="Arial" w:hAnsi="Arial" w:cs="Arial"/>
          <w:i/>
        </w:rPr>
        <w:t>Tool for Assessing Progress toward Adoption of Essential Transfer Practices for Community Colleges.</w:t>
      </w:r>
      <w:r w:rsidRPr="007B526F">
        <w:rPr>
          <w:rFonts w:ascii="Arial" w:hAnsi="Arial" w:cs="Arial"/>
        </w:rPr>
        <w:t xml:space="preserve"> </w:t>
      </w:r>
      <w:r w:rsidR="00C74101">
        <w:rPr>
          <w:rFonts w:ascii="Arial" w:hAnsi="Arial" w:cs="Arial"/>
        </w:rPr>
        <w:t xml:space="preserve">Give members of your core pathways team time to talk to others in their area about concepts in the assessment and then convene a meeting to complete the assessment as a team. </w:t>
      </w:r>
      <w:r w:rsidRPr="007B526F">
        <w:rPr>
          <w:rFonts w:ascii="Arial" w:hAnsi="Arial" w:cs="Arial"/>
        </w:rPr>
        <w:t xml:space="preserve">Once </w:t>
      </w:r>
      <w:r w:rsidR="00E66C20">
        <w:rPr>
          <w:rFonts w:ascii="Arial" w:hAnsi="Arial" w:cs="Arial"/>
        </w:rPr>
        <w:t>your</w:t>
      </w:r>
      <w:r w:rsidRPr="007B526F">
        <w:rPr>
          <w:rFonts w:ascii="Arial" w:hAnsi="Arial" w:cs="Arial"/>
        </w:rPr>
        <w:t xml:space="preserve"> core </w:t>
      </w:r>
      <w:r w:rsidR="00E66C20">
        <w:rPr>
          <w:rFonts w:ascii="Arial" w:hAnsi="Arial" w:cs="Arial"/>
        </w:rPr>
        <w:t xml:space="preserve">pathways </w:t>
      </w:r>
      <w:r w:rsidRPr="007B526F">
        <w:rPr>
          <w:rFonts w:ascii="Arial" w:hAnsi="Arial" w:cs="Arial"/>
        </w:rPr>
        <w:t>team has completed the assessment</w:t>
      </w:r>
      <w:r w:rsidR="00B736D1">
        <w:rPr>
          <w:rFonts w:ascii="Arial" w:hAnsi="Arial" w:cs="Arial"/>
        </w:rPr>
        <w:t xml:space="preserve"> together</w:t>
      </w:r>
      <w:r w:rsidRPr="007B526F">
        <w:rPr>
          <w:rFonts w:ascii="Arial" w:hAnsi="Arial" w:cs="Arial"/>
        </w:rPr>
        <w:t xml:space="preserve">, members should then engage others at the institution in conversation about the results, </w:t>
      </w:r>
      <w:r w:rsidR="00B736D1">
        <w:rPr>
          <w:rFonts w:ascii="Arial" w:hAnsi="Arial" w:cs="Arial"/>
        </w:rPr>
        <w:t>including faculty, staff, and administrators</w:t>
      </w:r>
      <w:r w:rsidR="00B64E5B">
        <w:rPr>
          <w:rFonts w:ascii="Arial" w:hAnsi="Arial" w:cs="Arial"/>
        </w:rPr>
        <w:t xml:space="preserve"> (a summary of the transfer playbook is attached to help engage others)</w:t>
      </w:r>
      <w:r w:rsidRPr="007B526F">
        <w:rPr>
          <w:rFonts w:ascii="Arial" w:hAnsi="Arial" w:cs="Arial"/>
        </w:rPr>
        <w:t>. Ideally these discussions should help refine the assessment, build shared understanding of the ways your college does and does not support transfer students, and motivate college leaders to continue to engage the wider college community in planning and implementing improvements.</w:t>
      </w:r>
    </w:p>
    <w:p w14:paraId="5471CDE4" w14:textId="32833772" w:rsidR="00FB2EC2" w:rsidRDefault="00FB2EC2" w:rsidP="00FB2EC2">
      <w:pPr>
        <w:ind w:left="720"/>
        <w:rPr>
          <w:rFonts w:ascii="Arial" w:hAnsi="Arial" w:cs="Arial"/>
        </w:rPr>
      </w:pPr>
      <w:r w:rsidRPr="007B526F">
        <w:rPr>
          <w:rFonts w:ascii="Arial" w:hAnsi="Arial" w:cs="Arial"/>
        </w:rPr>
        <w:t>The assessment is organized around four categories of essential practices: (1) prioritize transfer; (2) create clear, rigorous program pathways; (3) provide tailored transfer advising; and (4) build effective transfer partnerships. Within the four categ</w:t>
      </w:r>
      <w:r w:rsidR="00807BC4">
        <w:rPr>
          <w:rFonts w:ascii="Arial" w:hAnsi="Arial" w:cs="Arial"/>
        </w:rPr>
        <w:t xml:space="preserve">ories, </w:t>
      </w:r>
      <w:r w:rsidR="00636C34">
        <w:rPr>
          <w:rFonts w:ascii="Arial" w:hAnsi="Arial" w:cs="Arial"/>
        </w:rPr>
        <w:t xml:space="preserve">use the </w:t>
      </w:r>
      <w:r w:rsidR="00807BC4">
        <w:rPr>
          <w:rFonts w:ascii="Arial" w:hAnsi="Arial" w:cs="Arial"/>
        </w:rPr>
        <w:t xml:space="preserve">assessment </w:t>
      </w:r>
      <w:r w:rsidRPr="007B526F">
        <w:rPr>
          <w:rFonts w:ascii="Arial" w:hAnsi="Arial" w:cs="Arial"/>
        </w:rPr>
        <w:t xml:space="preserve">scale </w:t>
      </w:r>
      <w:r w:rsidR="00807BC4">
        <w:rPr>
          <w:rFonts w:ascii="Arial" w:hAnsi="Arial" w:cs="Arial"/>
        </w:rPr>
        <w:t>t</w:t>
      </w:r>
      <w:r w:rsidRPr="007B526F">
        <w:rPr>
          <w:rFonts w:ascii="Arial" w:hAnsi="Arial" w:cs="Arial"/>
        </w:rPr>
        <w:t xml:space="preserve">o rate how systematically each sub-practice is implemented at your college. </w:t>
      </w:r>
      <w:r w:rsidRPr="007B526F">
        <w:rPr>
          <w:rFonts w:ascii="Arial" w:hAnsi="Arial" w:cs="Arial"/>
          <w:b/>
        </w:rPr>
        <w:t>By “systemic,” we mean that the practice is implemented routinely and at scale, and that it is part of the regular operat</w:t>
      </w:r>
      <w:r w:rsidR="00807BC4">
        <w:rPr>
          <w:rFonts w:ascii="Arial" w:hAnsi="Arial" w:cs="Arial"/>
          <w:b/>
        </w:rPr>
        <w:t xml:space="preserve">ion and culture of the college. </w:t>
      </w:r>
      <w:r w:rsidR="00807BC4">
        <w:rPr>
          <w:rFonts w:ascii="Arial" w:hAnsi="Arial" w:cs="Arial"/>
        </w:rPr>
        <w:t>Within the tool, you will also find qu</w:t>
      </w:r>
      <w:r w:rsidRPr="007B526F">
        <w:rPr>
          <w:rFonts w:ascii="Arial" w:hAnsi="Arial" w:cs="Arial"/>
        </w:rPr>
        <w:t xml:space="preserve">estions to consider </w:t>
      </w:r>
      <w:r w:rsidR="00807BC4">
        <w:rPr>
          <w:rFonts w:ascii="Arial" w:hAnsi="Arial" w:cs="Arial"/>
        </w:rPr>
        <w:t xml:space="preserve">as </w:t>
      </w:r>
      <w:r w:rsidRPr="007B526F">
        <w:rPr>
          <w:rFonts w:ascii="Arial" w:hAnsi="Arial" w:cs="Arial"/>
        </w:rPr>
        <w:t xml:space="preserve">you conduct the assessment, </w:t>
      </w:r>
      <w:r w:rsidR="00807BC4">
        <w:rPr>
          <w:rFonts w:ascii="Arial" w:hAnsi="Arial" w:cs="Arial"/>
        </w:rPr>
        <w:t xml:space="preserve">as well as </w:t>
      </w:r>
      <w:r w:rsidRPr="007B526F">
        <w:rPr>
          <w:rFonts w:ascii="Arial" w:hAnsi="Arial" w:cs="Arial"/>
        </w:rPr>
        <w:t>space to identify possible next steps and anticipated challenges.</w:t>
      </w:r>
    </w:p>
    <w:p w14:paraId="08B352B1" w14:textId="73F67607" w:rsidR="00B9420D" w:rsidRDefault="00B64E5B" w:rsidP="00B9420D">
      <w:pPr>
        <w:ind w:left="720"/>
        <w:rPr>
          <w:rFonts w:ascii="Arial" w:hAnsi="Arial" w:cs="Arial"/>
          <w:b/>
        </w:rPr>
      </w:pPr>
      <w:r>
        <w:rPr>
          <w:rFonts w:ascii="Arial" w:hAnsi="Arial" w:cs="Arial"/>
          <w:b/>
        </w:rPr>
        <w:t>Submit</w:t>
      </w:r>
      <w:r w:rsidR="000E6FB6">
        <w:rPr>
          <w:rFonts w:ascii="Arial" w:hAnsi="Arial" w:cs="Arial"/>
          <w:b/>
        </w:rPr>
        <w:t xml:space="preserve"> </w:t>
      </w:r>
      <w:r w:rsidR="00807BC4">
        <w:rPr>
          <w:rFonts w:ascii="Arial" w:hAnsi="Arial" w:cs="Arial"/>
          <w:b/>
        </w:rPr>
        <w:t xml:space="preserve">the </w:t>
      </w:r>
      <w:r w:rsidRPr="000E6FB6">
        <w:rPr>
          <w:rFonts w:ascii="Arial" w:hAnsi="Arial" w:cs="Arial"/>
          <w:b/>
        </w:rPr>
        <w:t>assessment</w:t>
      </w:r>
      <w:r>
        <w:rPr>
          <w:rFonts w:ascii="Arial" w:hAnsi="Arial" w:cs="Arial"/>
          <w:b/>
        </w:rPr>
        <w:t xml:space="preserve"> </w:t>
      </w:r>
      <w:r w:rsidR="00B977BF">
        <w:rPr>
          <w:rFonts w:ascii="Arial" w:hAnsi="Arial" w:cs="Arial"/>
          <w:b/>
        </w:rPr>
        <w:t>(at least the</w:t>
      </w:r>
      <w:r>
        <w:rPr>
          <w:rFonts w:ascii="Arial" w:hAnsi="Arial" w:cs="Arial"/>
          <w:b/>
        </w:rPr>
        <w:t xml:space="preserve"> </w:t>
      </w:r>
      <w:r w:rsidR="000037E7">
        <w:rPr>
          <w:rFonts w:ascii="Arial" w:hAnsi="Arial" w:cs="Arial"/>
          <w:b/>
        </w:rPr>
        <w:t>core pathways team</w:t>
      </w:r>
      <w:r w:rsidR="00B977BF">
        <w:rPr>
          <w:rFonts w:ascii="Arial" w:hAnsi="Arial" w:cs="Arial"/>
          <w:b/>
        </w:rPr>
        <w:t xml:space="preserve"> draft</w:t>
      </w:r>
      <w:r w:rsidR="00636C34">
        <w:rPr>
          <w:rFonts w:ascii="Arial" w:hAnsi="Arial" w:cs="Arial"/>
          <w:b/>
        </w:rPr>
        <w:t xml:space="preserve"> before wider college engagement</w:t>
      </w:r>
      <w:r>
        <w:rPr>
          <w:rFonts w:ascii="Arial" w:hAnsi="Arial" w:cs="Arial"/>
          <w:b/>
        </w:rPr>
        <w:t>)</w:t>
      </w:r>
      <w:r w:rsidR="00B736D1" w:rsidRPr="000E6FB6">
        <w:rPr>
          <w:rFonts w:ascii="Arial" w:hAnsi="Arial" w:cs="Arial"/>
          <w:b/>
        </w:rPr>
        <w:t xml:space="preserve"> to Renee </w:t>
      </w:r>
      <w:r w:rsidR="00807BC4">
        <w:rPr>
          <w:rFonts w:ascii="Arial" w:hAnsi="Arial" w:cs="Arial"/>
          <w:b/>
        </w:rPr>
        <w:t xml:space="preserve">Dimino </w:t>
      </w:r>
      <w:r w:rsidR="00B736D1" w:rsidRPr="000E6FB6">
        <w:rPr>
          <w:rFonts w:ascii="Arial" w:hAnsi="Arial" w:cs="Arial"/>
          <w:b/>
        </w:rPr>
        <w:t xml:space="preserve">by March 4, 2019 via email </w:t>
      </w:r>
      <w:r w:rsidR="000E6FB6">
        <w:rPr>
          <w:rFonts w:ascii="Arial" w:hAnsi="Arial" w:cs="Arial"/>
          <w:b/>
        </w:rPr>
        <w:t>(</w:t>
      </w:r>
      <w:hyperlink r:id="rId9" w:history="1">
        <w:r w:rsidR="000E6FB6" w:rsidRPr="00F23F65">
          <w:rPr>
            <w:rStyle w:val="Hyperlink"/>
            <w:rFonts w:ascii="Arial" w:hAnsi="Arial" w:cs="Arial"/>
            <w:b/>
          </w:rPr>
          <w:t>rdimino@monroecc.edu</w:t>
        </w:r>
      </w:hyperlink>
      <w:r w:rsidR="000E6FB6">
        <w:rPr>
          <w:rFonts w:ascii="Arial" w:hAnsi="Arial" w:cs="Arial"/>
          <w:b/>
        </w:rPr>
        <w:t xml:space="preserve">) </w:t>
      </w:r>
    </w:p>
    <w:p w14:paraId="0FC8D132" w14:textId="71FC7798" w:rsidR="00B9420D" w:rsidRPr="00636C34" w:rsidRDefault="00636C34" w:rsidP="00636C34">
      <w:pPr>
        <w:rPr>
          <w:rFonts w:ascii="Arial" w:hAnsi="Arial" w:cs="Arial"/>
          <w:b/>
        </w:rPr>
      </w:pPr>
      <w:r w:rsidRPr="00894F03">
        <w:rPr>
          <w:rFonts w:ascii="Arial" w:hAnsi="Arial" w:cs="Arial"/>
          <w:b/>
          <w:noProof/>
        </w:rPr>
        <w:lastRenderedPageBreak/>
        <w:drawing>
          <wp:anchor distT="0" distB="0" distL="114300" distR="114300" simplePos="0" relativeHeight="251658240" behindDoc="1" locked="0" layoutInCell="1" allowOverlap="1" wp14:anchorId="0BCE5CD1" wp14:editId="5F147508">
            <wp:simplePos x="0" y="0"/>
            <wp:positionH relativeFrom="column">
              <wp:posOffset>49454</wp:posOffset>
            </wp:positionH>
            <wp:positionV relativeFrom="paragraph">
              <wp:posOffset>83744</wp:posOffset>
            </wp:positionV>
            <wp:extent cx="2038350" cy="828675"/>
            <wp:effectExtent l="0" t="0" r="0" b="9525"/>
            <wp:wrapTopAndBottom/>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anchor>
        </w:drawing>
      </w:r>
    </w:p>
    <w:p w14:paraId="3D04D64E" w14:textId="77777777" w:rsidR="00B9420D" w:rsidRDefault="00B9420D" w:rsidP="00B9420D">
      <w:pPr>
        <w:pStyle w:val="ListParagraph"/>
        <w:rPr>
          <w:rFonts w:ascii="Arial" w:hAnsi="Arial" w:cs="Arial"/>
          <w:b/>
        </w:rPr>
      </w:pPr>
    </w:p>
    <w:p w14:paraId="522E2840" w14:textId="77777777" w:rsidR="00FB2EC2" w:rsidRPr="00B9420D" w:rsidRDefault="00FB2EC2" w:rsidP="00B9420D">
      <w:pPr>
        <w:pStyle w:val="ListParagraph"/>
        <w:numPr>
          <w:ilvl w:val="0"/>
          <w:numId w:val="19"/>
        </w:numPr>
        <w:rPr>
          <w:rFonts w:ascii="Arial" w:hAnsi="Arial" w:cs="Arial"/>
          <w:b/>
        </w:rPr>
      </w:pPr>
      <w:r w:rsidRPr="00B9420D">
        <w:rPr>
          <w:rFonts w:ascii="Arial" w:hAnsi="Arial" w:cs="Arial"/>
          <w:b/>
        </w:rPr>
        <w:t>Transfer and Employment Program Mapping Template</w:t>
      </w:r>
    </w:p>
    <w:p w14:paraId="3B19861D" w14:textId="77777777" w:rsidR="000E6FB6" w:rsidRDefault="00FB2EC2" w:rsidP="00FB2EC2">
      <w:pPr>
        <w:spacing w:after="0" w:line="240" w:lineRule="auto"/>
        <w:ind w:left="720"/>
        <w:rPr>
          <w:rFonts w:ascii="Arial" w:hAnsi="Arial" w:cs="Arial"/>
        </w:rPr>
      </w:pPr>
      <w:r>
        <w:rPr>
          <w:rFonts w:ascii="Arial" w:hAnsi="Arial" w:cs="Arial"/>
        </w:rPr>
        <w:t>Use the</w:t>
      </w:r>
      <w:r w:rsidRPr="00334531">
        <w:rPr>
          <w:rFonts w:ascii="Arial" w:hAnsi="Arial" w:cs="Arial"/>
        </w:rPr>
        <w:t xml:space="preserve"> template to map the relationships between programs in a particular meta-major and related jobs and further education opportunities</w:t>
      </w:r>
      <w:r>
        <w:rPr>
          <w:rFonts w:ascii="Arial" w:hAnsi="Arial" w:cs="Arial"/>
        </w:rPr>
        <w:t xml:space="preserve">.  </w:t>
      </w:r>
    </w:p>
    <w:p w14:paraId="34DE8A25" w14:textId="77777777" w:rsidR="000E6FB6" w:rsidRDefault="000E6FB6" w:rsidP="00FB2EC2">
      <w:pPr>
        <w:spacing w:after="0" w:line="240" w:lineRule="auto"/>
        <w:ind w:left="720"/>
        <w:rPr>
          <w:rFonts w:ascii="Arial" w:hAnsi="Arial" w:cs="Arial"/>
        </w:rPr>
      </w:pPr>
    </w:p>
    <w:p w14:paraId="6FF64B9C" w14:textId="58B67826" w:rsidR="000E6FB6" w:rsidRDefault="00FB2EC2" w:rsidP="00FB2EC2">
      <w:pPr>
        <w:spacing w:after="0" w:line="240" w:lineRule="auto"/>
        <w:ind w:left="720"/>
        <w:rPr>
          <w:rFonts w:ascii="Arial" w:hAnsi="Arial" w:cs="Arial"/>
        </w:rPr>
      </w:pPr>
      <w:r w:rsidRPr="000E6FB6">
        <w:rPr>
          <w:rFonts w:ascii="Arial" w:hAnsi="Arial" w:cs="Arial"/>
          <w:b/>
        </w:rPr>
        <w:t xml:space="preserve">Complete </w:t>
      </w:r>
      <w:r w:rsidR="004F2388" w:rsidRPr="000E6FB6">
        <w:rPr>
          <w:rFonts w:ascii="Arial" w:hAnsi="Arial" w:cs="Arial"/>
          <w:b/>
        </w:rPr>
        <w:t xml:space="preserve">at least one Meta-major Area of </w:t>
      </w:r>
      <w:r w:rsidRPr="000E6FB6">
        <w:rPr>
          <w:rFonts w:ascii="Arial" w:hAnsi="Arial" w:cs="Arial"/>
          <w:b/>
        </w:rPr>
        <w:t xml:space="preserve">the template </w:t>
      </w:r>
      <w:r w:rsidR="004F2388" w:rsidRPr="000E6FB6">
        <w:rPr>
          <w:rFonts w:ascii="Arial" w:hAnsi="Arial" w:cs="Arial"/>
          <w:b/>
        </w:rPr>
        <w:t>(</w:t>
      </w:r>
      <w:r w:rsidRPr="000E6FB6">
        <w:rPr>
          <w:rFonts w:ascii="Arial" w:hAnsi="Arial" w:cs="Arial"/>
          <w:b/>
        </w:rPr>
        <w:t>for the institution’s top meta-majors by enrollment</w:t>
      </w:r>
      <w:r w:rsidR="004F2388" w:rsidRPr="000E6FB6">
        <w:rPr>
          <w:rFonts w:ascii="Arial" w:hAnsi="Arial" w:cs="Arial"/>
          <w:b/>
        </w:rPr>
        <w:t xml:space="preserve">) and </w:t>
      </w:r>
      <w:r w:rsidR="000037E7">
        <w:rPr>
          <w:rFonts w:ascii="Arial" w:hAnsi="Arial" w:cs="Arial"/>
          <w:b/>
        </w:rPr>
        <w:t>submit</w:t>
      </w:r>
      <w:r w:rsidR="004F2388" w:rsidRPr="000E6FB6">
        <w:rPr>
          <w:rFonts w:ascii="Arial" w:hAnsi="Arial" w:cs="Arial"/>
          <w:b/>
        </w:rPr>
        <w:t xml:space="preserve"> with other pre-work by March 4, 2019</w:t>
      </w:r>
      <w:r>
        <w:rPr>
          <w:rFonts w:ascii="Arial" w:hAnsi="Arial" w:cs="Arial"/>
        </w:rPr>
        <w:t>.</w:t>
      </w:r>
      <w:r w:rsidR="004F2388">
        <w:rPr>
          <w:rFonts w:ascii="Arial" w:hAnsi="Arial" w:cs="Arial"/>
        </w:rPr>
        <w:t xml:space="preserve"> </w:t>
      </w:r>
    </w:p>
    <w:p w14:paraId="102E8882" w14:textId="77777777" w:rsidR="000E6FB6" w:rsidRDefault="000E6FB6" w:rsidP="00FB2EC2">
      <w:pPr>
        <w:spacing w:after="0" w:line="240" w:lineRule="auto"/>
        <w:ind w:left="720"/>
        <w:rPr>
          <w:rFonts w:ascii="Arial" w:hAnsi="Arial" w:cs="Arial"/>
        </w:rPr>
      </w:pPr>
    </w:p>
    <w:p w14:paraId="3A2FEFF2" w14:textId="6E0AB085" w:rsidR="00B9420D" w:rsidRDefault="000037E7" w:rsidP="00FB2EC2">
      <w:pPr>
        <w:spacing w:after="0" w:line="240" w:lineRule="auto"/>
        <w:ind w:left="720"/>
        <w:rPr>
          <w:rFonts w:ascii="Arial" w:hAnsi="Arial" w:cs="Arial"/>
        </w:rPr>
      </w:pPr>
      <w:r>
        <w:rPr>
          <w:rFonts w:ascii="Arial" w:hAnsi="Arial" w:cs="Arial"/>
        </w:rPr>
        <w:t xml:space="preserve">Complete the remaining </w:t>
      </w:r>
      <w:r w:rsidR="00807BC4">
        <w:rPr>
          <w:rFonts w:ascii="Arial" w:hAnsi="Arial" w:cs="Arial"/>
        </w:rPr>
        <w:t xml:space="preserve">two </w:t>
      </w:r>
      <w:r>
        <w:rPr>
          <w:rFonts w:ascii="Arial" w:hAnsi="Arial" w:cs="Arial"/>
        </w:rPr>
        <w:t>areas as part of the</w:t>
      </w:r>
      <w:r w:rsidR="004F2388">
        <w:rPr>
          <w:rFonts w:ascii="Arial" w:hAnsi="Arial" w:cs="Arial"/>
        </w:rPr>
        <w:t xml:space="preserve"> post-work due April 8, 2019.</w:t>
      </w:r>
    </w:p>
    <w:p w14:paraId="299BB6D7" w14:textId="77777777" w:rsidR="00B9420D" w:rsidRDefault="00B9420D" w:rsidP="00FB2EC2">
      <w:pPr>
        <w:spacing w:after="0" w:line="240" w:lineRule="auto"/>
        <w:ind w:left="720"/>
        <w:rPr>
          <w:rFonts w:ascii="Arial" w:hAnsi="Arial" w:cs="Arial"/>
        </w:rPr>
      </w:pPr>
    </w:p>
    <w:p w14:paraId="55C21D10" w14:textId="77777777" w:rsidR="00B9420D" w:rsidRDefault="00B9420D" w:rsidP="00FB2EC2">
      <w:pPr>
        <w:spacing w:after="0" w:line="240" w:lineRule="auto"/>
        <w:ind w:left="720"/>
        <w:rPr>
          <w:rFonts w:ascii="Arial" w:hAnsi="Arial" w:cs="Arial"/>
        </w:rPr>
      </w:pPr>
    </w:p>
    <w:p w14:paraId="4FCAF9FD" w14:textId="5C14EB82" w:rsidR="00FB2EC2" w:rsidRDefault="00FB2EC2" w:rsidP="00FB2EC2">
      <w:pPr>
        <w:spacing w:after="0" w:line="240" w:lineRule="auto"/>
        <w:ind w:left="720"/>
        <w:rPr>
          <w:rFonts w:ascii="Arial" w:hAnsi="Arial" w:cs="Arial"/>
          <w:b/>
        </w:rPr>
      </w:pPr>
      <w:r>
        <w:rPr>
          <w:rFonts w:ascii="Arial" w:hAnsi="Arial" w:cs="Arial"/>
        </w:rPr>
        <w:t xml:space="preserve">  </w:t>
      </w:r>
    </w:p>
    <w:p w14:paraId="38E5377A" w14:textId="77777777" w:rsidR="00FB2EC2" w:rsidRDefault="00FB2EC2" w:rsidP="00FB2EC2">
      <w:pPr>
        <w:spacing w:after="0" w:line="240" w:lineRule="auto"/>
        <w:rPr>
          <w:rFonts w:ascii="Arial" w:hAnsi="Arial" w:cs="Arial"/>
          <w:b/>
        </w:rPr>
      </w:pPr>
    </w:p>
    <w:p w14:paraId="4C8E119F" w14:textId="768F274C" w:rsidR="00FB2EC2" w:rsidRPr="00B9420D" w:rsidRDefault="00FB2EC2" w:rsidP="00B9420D">
      <w:pPr>
        <w:pStyle w:val="ListParagraph"/>
        <w:widowControl/>
        <w:numPr>
          <w:ilvl w:val="0"/>
          <w:numId w:val="19"/>
        </w:numPr>
        <w:spacing w:after="0" w:line="240" w:lineRule="auto"/>
        <w:rPr>
          <w:rFonts w:ascii="Arial" w:hAnsi="Arial" w:cs="Arial"/>
          <w:b/>
        </w:rPr>
      </w:pPr>
      <w:r w:rsidRPr="00B9420D">
        <w:rPr>
          <w:rFonts w:ascii="Arial" w:hAnsi="Arial" w:cs="Arial"/>
          <w:b/>
        </w:rPr>
        <w:t>Measuring Your College’s Effectiveness Serving Transfer Students Data Template</w:t>
      </w:r>
      <w:r w:rsidR="00F713E5" w:rsidRPr="00B9420D">
        <w:rPr>
          <w:rFonts w:ascii="Arial" w:hAnsi="Arial" w:cs="Arial"/>
          <w:b/>
        </w:rPr>
        <w:t xml:space="preserve"> – Using National </w:t>
      </w:r>
      <w:r w:rsidRPr="00B9420D">
        <w:rPr>
          <w:rFonts w:ascii="Arial" w:hAnsi="Arial" w:cs="Arial"/>
          <w:b/>
        </w:rPr>
        <w:t>Student Clearinghouse Data</w:t>
      </w:r>
    </w:p>
    <w:p w14:paraId="397A1EF9" w14:textId="77777777" w:rsidR="004F2388" w:rsidRDefault="004F2388" w:rsidP="00FB2EC2">
      <w:pPr>
        <w:spacing w:after="0" w:line="240" w:lineRule="auto"/>
        <w:ind w:left="720"/>
        <w:rPr>
          <w:rFonts w:ascii="Arial" w:hAnsi="Arial" w:cs="Arial"/>
        </w:rPr>
      </w:pPr>
    </w:p>
    <w:p w14:paraId="152C03E8" w14:textId="06AB5509" w:rsidR="00FB2EC2" w:rsidRDefault="00FB2EC2" w:rsidP="00FB2EC2">
      <w:pPr>
        <w:spacing w:after="0" w:line="240" w:lineRule="auto"/>
        <w:ind w:left="720"/>
        <w:rPr>
          <w:rFonts w:ascii="Arial" w:hAnsi="Arial" w:cs="Arial"/>
        </w:rPr>
      </w:pPr>
      <w:r w:rsidRPr="00AF7A27">
        <w:rPr>
          <w:rFonts w:ascii="Arial" w:hAnsi="Arial" w:cs="Arial"/>
        </w:rPr>
        <w:t xml:space="preserve">The tables and definitions in the template provided are a basic set of metrics the institution can compute using National Student Clearinghouse data to measure the outcomes of your students who seek to transfer to a four-year institution. Table 1 presents overall measures of your college’s transfer outcomes in comparison to national averages and top colleges, and Table 2 shows how your transfer students fare at your college’s top five transfer destinations. </w:t>
      </w:r>
    </w:p>
    <w:p w14:paraId="75E9EDAB" w14:textId="2A4FAA31" w:rsidR="004F2388" w:rsidRDefault="004F2388" w:rsidP="00FB2EC2">
      <w:pPr>
        <w:spacing w:after="0" w:line="240" w:lineRule="auto"/>
        <w:ind w:left="720"/>
        <w:rPr>
          <w:rFonts w:ascii="Arial" w:hAnsi="Arial" w:cs="Arial"/>
        </w:rPr>
      </w:pPr>
    </w:p>
    <w:p w14:paraId="4D40D106" w14:textId="2D9C7DF4" w:rsidR="004F2388" w:rsidRDefault="00807BC4" w:rsidP="00FB2EC2">
      <w:pPr>
        <w:spacing w:after="0" w:line="240" w:lineRule="auto"/>
        <w:ind w:left="720"/>
        <w:rPr>
          <w:rFonts w:ascii="Arial" w:hAnsi="Arial" w:cs="Arial"/>
        </w:rPr>
      </w:pPr>
      <w:r>
        <w:rPr>
          <w:rFonts w:ascii="Arial" w:hAnsi="Arial" w:cs="Arial"/>
        </w:rPr>
        <w:t>Please w</w:t>
      </w:r>
      <w:r w:rsidR="004F2388">
        <w:rPr>
          <w:rFonts w:ascii="Arial" w:hAnsi="Arial" w:cs="Arial"/>
        </w:rPr>
        <w:t xml:space="preserve">ork with your IR department to complete the chart (sections: Table 1. </w:t>
      </w:r>
      <w:r w:rsidR="004F2388">
        <w:rPr>
          <w:rFonts w:ascii="Arial" w:hAnsi="Arial" w:cs="Arial"/>
          <w:i/>
        </w:rPr>
        <w:t xml:space="preserve">Tracking Transfer Measures </w:t>
      </w:r>
      <w:r w:rsidR="004F2388">
        <w:rPr>
          <w:rFonts w:ascii="Arial" w:hAnsi="Arial" w:cs="Arial"/>
        </w:rPr>
        <w:t xml:space="preserve">and Table 2. </w:t>
      </w:r>
      <w:r w:rsidR="004F2388" w:rsidRPr="004F2388">
        <w:rPr>
          <w:rFonts w:ascii="Arial" w:hAnsi="Arial" w:cs="Arial"/>
          <w:i/>
        </w:rPr>
        <w:t>Major Transfer Partner Measures</w:t>
      </w:r>
      <w:r w:rsidR="004F2388">
        <w:rPr>
          <w:rFonts w:ascii="Arial" w:hAnsi="Arial" w:cs="Arial"/>
        </w:rPr>
        <w:t>)</w:t>
      </w:r>
    </w:p>
    <w:p w14:paraId="40E985C4" w14:textId="59BD8745" w:rsidR="00AE3366" w:rsidRDefault="00AE3366" w:rsidP="00FB2EC2">
      <w:pPr>
        <w:spacing w:after="0" w:line="240" w:lineRule="auto"/>
        <w:ind w:left="720"/>
        <w:rPr>
          <w:rFonts w:ascii="Arial" w:hAnsi="Arial" w:cs="Arial"/>
        </w:rPr>
      </w:pPr>
    </w:p>
    <w:p w14:paraId="56FB3E74" w14:textId="00E943D9" w:rsidR="00AE3366" w:rsidRPr="004F2388" w:rsidRDefault="0010067C" w:rsidP="00FB2EC2">
      <w:pPr>
        <w:spacing w:after="0" w:line="240" w:lineRule="auto"/>
        <w:ind w:left="720"/>
        <w:rPr>
          <w:rFonts w:ascii="Arial" w:hAnsi="Arial" w:cs="Arial"/>
        </w:rPr>
      </w:pPr>
      <w:r>
        <w:rPr>
          <w:rFonts w:ascii="Arial" w:hAnsi="Arial" w:cs="Arial"/>
          <w:b/>
        </w:rPr>
        <w:t>Submit</w:t>
      </w:r>
      <w:r w:rsidR="00AE3366" w:rsidRPr="000E6FB6">
        <w:rPr>
          <w:rFonts w:ascii="Arial" w:hAnsi="Arial" w:cs="Arial"/>
          <w:b/>
        </w:rPr>
        <w:t xml:space="preserve"> the completed data template as a part of Institute #5 pre-work by March 4, 2019</w:t>
      </w:r>
      <w:r w:rsidR="00AE3366">
        <w:rPr>
          <w:rFonts w:ascii="Arial" w:hAnsi="Arial" w:cs="Arial"/>
        </w:rPr>
        <w:t>.</w:t>
      </w:r>
    </w:p>
    <w:p w14:paraId="549E962D" w14:textId="77777777" w:rsidR="00FB2EC2" w:rsidRPr="00AF7A27" w:rsidRDefault="00FB2EC2" w:rsidP="00FB2EC2">
      <w:pPr>
        <w:spacing w:after="0" w:line="240" w:lineRule="auto"/>
        <w:ind w:left="720"/>
        <w:rPr>
          <w:rFonts w:ascii="Arial" w:hAnsi="Arial" w:cs="Arial"/>
        </w:rPr>
      </w:pPr>
    </w:p>
    <w:p w14:paraId="496A0C8E" w14:textId="77777777" w:rsidR="00FB2EC2" w:rsidRPr="00325283" w:rsidRDefault="00FB2EC2" w:rsidP="00FB2EC2">
      <w:pPr>
        <w:ind w:left="720"/>
        <w:rPr>
          <w:rFonts w:ascii="Arial" w:hAnsi="Arial" w:cs="Arial"/>
          <w:b/>
        </w:rPr>
      </w:pPr>
    </w:p>
    <w:p w14:paraId="0470879F" w14:textId="35DF7E82" w:rsidR="00FB2EC2" w:rsidRPr="00D16EEF" w:rsidRDefault="00FB2EC2" w:rsidP="00FB2EC2">
      <w:pPr>
        <w:spacing w:after="0"/>
        <w:rPr>
          <w:rFonts w:ascii="Arial" w:hAnsi="Arial" w:cs="Arial"/>
          <w:b/>
          <w:bCs/>
          <w:color w:val="0070C0"/>
        </w:rPr>
      </w:pPr>
      <w:r w:rsidRPr="00D16EEF">
        <w:rPr>
          <w:rFonts w:ascii="Arial" w:hAnsi="Arial" w:cs="Arial"/>
          <w:b/>
          <w:bCs/>
          <w:color w:val="0070C0"/>
        </w:rPr>
        <w:t xml:space="preserve">Note:  For this Institute, the Short-term Action Plan does not require work in advance. It will be used as a working document during the team sessions at the Institute </w:t>
      </w:r>
      <w:r w:rsidR="006C570B">
        <w:rPr>
          <w:rFonts w:ascii="Arial" w:hAnsi="Arial" w:cs="Arial"/>
          <w:b/>
          <w:bCs/>
          <w:color w:val="0070C0"/>
        </w:rPr>
        <w:t xml:space="preserve">at </w:t>
      </w:r>
      <w:r w:rsidR="00D3302D">
        <w:rPr>
          <w:rFonts w:ascii="Arial" w:hAnsi="Arial" w:cs="Arial"/>
          <w:b/>
          <w:bCs/>
          <w:color w:val="0070C0"/>
        </w:rPr>
        <w:t>Monroe Community College</w:t>
      </w:r>
      <w:r w:rsidR="006C570B">
        <w:rPr>
          <w:rFonts w:ascii="Arial" w:hAnsi="Arial" w:cs="Arial"/>
          <w:b/>
          <w:bCs/>
          <w:color w:val="0070C0"/>
        </w:rPr>
        <w:t>. It is included with your pre-work for your preview.</w:t>
      </w:r>
    </w:p>
    <w:p w14:paraId="4D8D69B4" w14:textId="451CFB87" w:rsidR="00AE3366" w:rsidRDefault="00AE3366" w:rsidP="00FB2EC2">
      <w:pPr>
        <w:spacing w:after="0"/>
        <w:rPr>
          <w:rFonts w:ascii="Arial" w:hAnsi="Arial" w:cs="Arial"/>
          <w:b/>
          <w:bCs/>
        </w:rPr>
      </w:pPr>
    </w:p>
    <w:p w14:paraId="3428D7C0" w14:textId="77777777" w:rsidR="00AE3366" w:rsidRPr="00AE3366" w:rsidRDefault="00AE3366" w:rsidP="00FB2EC2">
      <w:pPr>
        <w:spacing w:after="0"/>
        <w:rPr>
          <w:rFonts w:ascii="Arial" w:hAnsi="Arial" w:cs="Arial"/>
          <w:bCs/>
        </w:rPr>
      </w:pPr>
    </w:p>
    <w:p w14:paraId="297BC196" w14:textId="7567D4E0" w:rsidR="00FB2EC2" w:rsidRDefault="00FB2EC2" w:rsidP="00FB2EC2">
      <w:pPr>
        <w:spacing w:after="0"/>
        <w:rPr>
          <w:rFonts w:ascii="Arial" w:hAnsi="Arial" w:cs="Arial"/>
          <w:b/>
          <w:bCs/>
        </w:rPr>
      </w:pPr>
      <w:r>
        <w:rPr>
          <w:rFonts w:ascii="Arial" w:hAnsi="Arial" w:cs="Arial"/>
          <w:b/>
          <w:bCs/>
        </w:rPr>
        <w:t>If there are any quest</w:t>
      </w:r>
      <w:r w:rsidR="00783061">
        <w:rPr>
          <w:rFonts w:ascii="Arial" w:hAnsi="Arial" w:cs="Arial"/>
          <w:b/>
          <w:bCs/>
        </w:rPr>
        <w:t>ions about the submission of any Institute #5 work</w:t>
      </w:r>
      <w:r>
        <w:rPr>
          <w:rFonts w:ascii="Arial" w:hAnsi="Arial" w:cs="Arial"/>
          <w:b/>
          <w:bCs/>
        </w:rPr>
        <w:t>,</w:t>
      </w:r>
      <w:r w:rsidR="006C570B">
        <w:rPr>
          <w:rFonts w:ascii="Arial" w:hAnsi="Arial" w:cs="Arial"/>
          <w:b/>
          <w:bCs/>
        </w:rPr>
        <w:t xml:space="preserve"> please contact Renee Dimino</w:t>
      </w:r>
      <w:r>
        <w:rPr>
          <w:rFonts w:ascii="Arial" w:hAnsi="Arial" w:cs="Arial"/>
          <w:b/>
          <w:bCs/>
        </w:rPr>
        <w:t xml:space="preserve"> (</w:t>
      </w:r>
      <w:hyperlink r:id="rId10" w:history="1">
        <w:r w:rsidR="00B96B8F" w:rsidRPr="00460F16">
          <w:rPr>
            <w:rStyle w:val="Hyperlink"/>
            <w:rFonts w:ascii="Arial" w:hAnsi="Arial" w:cs="Arial"/>
            <w:b/>
            <w:bCs/>
          </w:rPr>
          <w:t>rdimino@monroecc.edu</w:t>
        </w:r>
      </w:hyperlink>
      <w:r w:rsidR="00B96B8F">
        <w:rPr>
          <w:rFonts w:ascii="Arial" w:hAnsi="Arial" w:cs="Arial"/>
          <w:b/>
          <w:bCs/>
        </w:rPr>
        <w:t xml:space="preserve">). </w:t>
      </w:r>
    </w:p>
    <w:p w14:paraId="7E09EC04" w14:textId="236335AD" w:rsidR="00FB2EC2" w:rsidRDefault="00FB2EC2" w:rsidP="00FB2EC2">
      <w:pPr>
        <w:spacing w:after="0"/>
        <w:rPr>
          <w:rFonts w:ascii="Arial" w:hAnsi="Arial" w:cs="Arial"/>
          <w:b/>
          <w:bCs/>
        </w:rPr>
      </w:pPr>
    </w:p>
    <w:p w14:paraId="326834ED" w14:textId="77777777" w:rsidR="00636C34" w:rsidRDefault="00636C34" w:rsidP="00FB2EC2">
      <w:pPr>
        <w:spacing w:after="0"/>
        <w:rPr>
          <w:rFonts w:ascii="Arial" w:hAnsi="Arial" w:cs="Arial"/>
          <w:b/>
          <w:bCs/>
        </w:rPr>
      </w:pPr>
    </w:p>
    <w:p w14:paraId="7D84FE4C" w14:textId="77777777" w:rsidR="00636C34" w:rsidRDefault="00636C34" w:rsidP="00FB2EC2">
      <w:pPr>
        <w:spacing w:after="0"/>
        <w:rPr>
          <w:rFonts w:ascii="Arial" w:hAnsi="Arial" w:cs="Arial"/>
          <w:b/>
          <w:bCs/>
        </w:rPr>
      </w:pPr>
    </w:p>
    <w:p w14:paraId="721CA204" w14:textId="77777777" w:rsidR="00636C34" w:rsidRDefault="00636C34" w:rsidP="00FB2EC2">
      <w:pPr>
        <w:spacing w:after="0"/>
        <w:rPr>
          <w:rFonts w:ascii="Arial" w:hAnsi="Arial" w:cs="Arial"/>
          <w:b/>
          <w:bCs/>
        </w:rPr>
      </w:pPr>
    </w:p>
    <w:p w14:paraId="4F806FC2" w14:textId="4FD8CFE8" w:rsidR="00636C34" w:rsidRDefault="00636C34" w:rsidP="00FB2EC2">
      <w:pPr>
        <w:spacing w:after="0"/>
        <w:rPr>
          <w:rFonts w:ascii="Arial" w:hAnsi="Arial" w:cs="Arial"/>
          <w:b/>
          <w:bCs/>
        </w:rPr>
      </w:pPr>
      <w:r>
        <w:rPr>
          <w:rFonts w:ascii="Arial" w:hAnsi="Arial" w:cs="Arial"/>
          <w:b/>
          <w:bCs/>
          <w:noProof/>
        </w:rPr>
        <w:lastRenderedPageBreak/>
        <w:drawing>
          <wp:inline distT="0" distB="0" distL="0" distR="0" wp14:anchorId="431FC156" wp14:editId="13A58480">
            <wp:extent cx="2036445" cy="8293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829310"/>
                    </a:xfrm>
                    <a:prstGeom prst="rect">
                      <a:avLst/>
                    </a:prstGeom>
                    <a:noFill/>
                  </pic:spPr>
                </pic:pic>
              </a:graphicData>
            </a:graphic>
          </wp:inline>
        </w:drawing>
      </w:r>
    </w:p>
    <w:p w14:paraId="78ED7889" w14:textId="77777777" w:rsidR="00636C34" w:rsidRDefault="00636C34" w:rsidP="00FB2EC2">
      <w:pPr>
        <w:spacing w:after="0"/>
        <w:rPr>
          <w:rFonts w:ascii="Arial" w:hAnsi="Arial" w:cs="Arial"/>
          <w:b/>
          <w:bCs/>
        </w:rPr>
      </w:pPr>
    </w:p>
    <w:p w14:paraId="4C1A4DF8" w14:textId="77777777" w:rsidR="00636C34" w:rsidRPr="003F5F4F" w:rsidRDefault="00636C34" w:rsidP="00FB2EC2">
      <w:pPr>
        <w:spacing w:after="0"/>
        <w:rPr>
          <w:rFonts w:ascii="Arial" w:hAnsi="Arial" w:cs="Arial"/>
          <w:b/>
          <w:bCs/>
        </w:rPr>
      </w:pPr>
    </w:p>
    <w:p w14:paraId="6113A4D1" w14:textId="77777777" w:rsidR="00636C34" w:rsidRDefault="00636C34" w:rsidP="00636C34">
      <w:pPr>
        <w:spacing w:after="0"/>
        <w:jc w:val="center"/>
        <w:rPr>
          <w:rFonts w:ascii="Arial" w:hAnsi="Arial" w:cs="Arial"/>
          <w:b/>
          <w:bCs/>
          <w:sz w:val="32"/>
          <w:szCs w:val="32"/>
        </w:rPr>
      </w:pPr>
      <w:r>
        <w:rPr>
          <w:rFonts w:ascii="Arial" w:hAnsi="Arial" w:cs="Arial"/>
          <w:b/>
          <w:bCs/>
          <w:sz w:val="32"/>
          <w:szCs w:val="32"/>
        </w:rPr>
        <w:t>Summary</w:t>
      </w:r>
      <w:r w:rsidRPr="00B9420D">
        <w:rPr>
          <w:rFonts w:ascii="Arial" w:hAnsi="Arial" w:cs="Arial"/>
          <w:b/>
          <w:bCs/>
          <w:sz w:val="32"/>
          <w:szCs w:val="32"/>
        </w:rPr>
        <w:t xml:space="preserve"> </w:t>
      </w:r>
      <w:r>
        <w:rPr>
          <w:rFonts w:ascii="Arial" w:hAnsi="Arial" w:cs="Arial"/>
          <w:b/>
          <w:bCs/>
          <w:sz w:val="32"/>
          <w:szCs w:val="32"/>
        </w:rPr>
        <w:t xml:space="preserve">Work </w:t>
      </w:r>
      <w:r w:rsidRPr="00B9420D">
        <w:rPr>
          <w:rFonts w:ascii="Arial" w:hAnsi="Arial" w:cs="Arial"/>
          <w:b/>
          <w:bCs/>
          <w:sz w:val="32"/>
          <w:szCs w:val="32"/>
        </w:rPr>
        <w:t xml:space="preserve">Timeline </w:t>
      </w:r>
    </w:p>
    <w:p w14:paraId="66D3FAD7" w14:textId="2B961EAB" w:rsidR="00636C34" w:rsidRPr="00B9420D" w:rsidRDefault="00636C34" w:rsidP="00807BC4">
      <w:pPr>
        <w:spacing w:after="0"/>
        <w:jc w:val="center"/>
        <w:rPr>
          <w:rFonts w:ascii="Arial" w:hAnsi="Arial" w:cs="Arial"/>
          <w:b/>
          <w:bCs/>
          <w:sz w:val="32"/>
          <w:szCs w:val="32"/>
        </w:rPr>
      </w:pPr>
      <w:r w:rsidRPr="00B9420D">
        <w:rPr>
          <w:rFonts w:ascii="Arial" w:hAnsi="Arial" w:cs="Arial"/>
          <w:b/>
          <w:bCs/>
          <w:sz w:val="32"/>
          <w:szCs w:val="32"/>
        </w:rPr>
        <w:t>Institute #5</w:t>
      </w:r>
      <w:r>
        <w:rPr>
          <w:rFonts w:ascii="Arial" w:hAnsi="Arial" w:cs="Arial"/>
          <w:b/>
          <w:bCs/>
          <w:sz w:val="32"/>
          <w:szCs w:val="32"/>
        </w:rPr>
        <w:t>: Career and Transfer Pathways</w:t>
      </w:r>
    </w:p>
    <w:p w14:paraId="282E1224" w14:textId="77777777" w:rsidR="00636C34" w:rsidRDefault="00636C34" w:rsidP="00636C34">
      <w:pPr>
        <w:spacing w:after="0"/>
        <w:rPr>
          <w:rFonts w:ascii="Arial" w:hAnsi="Arial" w:cs="Arial"/>
          <w:bCs/>
        </w:rPr>
      </w:pPr>
    </w:p>
    <w:p w14:paraId="70A9A375" w14:textId="77777777" w:rsidR="00636C34" w:rsidRDefault="00636C34" w:rsidP="00636C34">
      <w:pPr>
        <w:spacing w:after="0"/>
        <w:rPr>
          <w:rFonts w:ascii="Arial" w:hAnsi="Arial" w:cs="Arial"/>
          <w:bCs/>
        </w:rPr>
      </w:pPr>
      <w:r w:rsidRPr="00AE3366">
        <w:rPr>
          <w:rFonts w:ascii="Arial" w:hAnsi="Arial" w:cs="Arial"/>
          <w:b/>
          <w:bCs/>
        </w:rPr>
        <w:t>Pre-work</w:t>
      </w:r>
      <w:r>
        <w:rPr>
          <w:rFonts w:ascii="Arial" w:hAnsi="Arial" w:cs="Arial"/>
          <w:bCs/>
        </w:rPr>
        <w:t>:</w:t>
      </w:r>
    </w:p>
    <w:p w14:paraId="36F0B91D" w14:textId="77777777" w:rsidR="00636C34" w:rsidRPr="000E6FB6" w:rsidRDefault="00636C34" w:rsidP="00636C34">
      <w:pPr>
        <w:pStyle w:val="ListParagraph"/>
        <w:widowControl/>
        <w:numPr>
          <w:ilvl w:val="0"/>
          <w:numId w:val="13"/>
        </w:numPr>
        <w:spacing w:after="0" w:line="259" w:lineRule="auto"/>
        <w:rPr>
          <w:rFonts w:ascii="Arial" w:hAnsi="Arial" w:cs="Arial"/>
          <w:b/>
          <w:bCs/>
        </w:rPr>
      </w:pPr>
      <w:r w:rsidRPr="000E6FB6">
        <w:rPr>
          <w:rFonts w:ascii="Arial" w:hAnsi="Arial" w:cs="Arial"/>
          <w:bCs/>
        </w:rPr>
        <w:t xml:space="preserve">Core team members read </w:t>
      </w:r>
      <w:hyperlink r:id="rId12" w:history="1">
        <w:r w:rsidRPr="000E6FB6">
          <w:rPr>
            <w:rStyle w:val="Hyperlink"/>
            <w:rFonts w:ascii="Arial" w:hAnsi="Arial" w:cs="Arial"/>
            <w:b/>
            <w:bCs/>
          </w:rPr>
          <w:t xml:space="preserve">The Transfer Playbook: Essential Practices for Two- and Four-Year Colleges </w:t>
        </w:r>
      </w:hyperlink>
      <w:r w:rsidRPr="000E6FB6">
        <w:rPr>
          <w:rFonts w:ascii="Arial" w:hAnsi="Arial" w:cs="Arial"/>
          <w:b/>
          <w:bCs/>
        </w:rPr>
        <w:t xml:space="preserve"> </w:t>
      </w:r>
      <w:r>
        <w:rPr>
          <w:rFonts w:ascii="Arial" w:hAnsi="Arial" w:cs="Arial"/>
          <w:bCs/>
        </w:rPr>
        <w:t>(share the summary handout with other college personnel consulted)</w:t>
      </w:r>
    </w:p>
    <w:p w14:paraId="4BFA5FE2" w14:textId="77777777" w:rsidR="00636C34" w:rsidRPr="000E6FB6" w:rsidRDefault="00636C34" w:rsidP="00636C34">
      <w:pPr>
        <w:pStyle w:val="ListParagraph"/>
        <w:widowControl/>
        <w:numPr>
          <w:ilvl w:val="0"/>
          <w:numId w:val="13"/>
        </w:numPr>
        <w:spacing w:after="160" w:line="259" w:lineRule="auto"/>
        <w:rPr>
          <w:rFonts w:ascii="Arial" w:hAnsi="Arial" w:cs="Arial"/>
          <w:b/>
        </w:rPr>
      </w:pPr>
      <w:r w:rsidRPr="000E6FB6">
        <w:rPr>
          <w:rFonts w:ascii="Arial" w:hAnsi="Arial" w:cs="Arial"/>
          <w:bCs/>
        </w:rPr>
        <w:t xml:space="preserve">Complete (with core team and then refined </w:t>
      </w:r>
      <w:r>
        <w:rPr>
          <w:rFonts w:ascii="Arial" w:hAnsi="Arial" w:cs="Arial"/>
          <w:bCs/>
        </w:rPr>
        <w:t xml:space="preserve">results </w:t>
      </w:r>
      <w:r w:rsidRPr="000E6FB6">
        <w:rPr>
          <w:rFonts w:ascii="Arial" w:hAnsi="Arial" w:cs="Arial"/>
          <w:bCs/>
        </w:rPr>
        <w:t>with wider college conversations</w:t>
      </w:r>
      <w:r>
        <w:rPr>
          <w:rFonts w:ascii="Arial" w:hAnsi="Arial" w:cs="Arial"/>
          <w:bCs/>
        </w:rPr>
        <w:t>, if possible</w:t>
      </w:r>
      <w:r w:rsidRPr="000E6FB6">
        <w:rPr>
          <w:rFonts w:ascii="Arial" w:hAnsi="Arial" w:cs="Arial"/>
          <w:bCs/>
        </w:rPr>
        <w:t xml:space="preserve">) </w:t>
      </w:r>
      <w:r w:rsidRPr="000E6FB6">
        <w:rPr>
          <w:rFonts w:ascii="Arial" w:hAnsi="Arial" w:cs="Arial"/>
          <w:b/>
        </w:rPr>
        <w:t>The Transfer Playbook: Tool for Assessing Progress toward Adoption of Essential Transfer Practices for Community Colleges</w:t>
      </w:r>
    </w:p>
    <w:p w14:paraId="5F3D2C7A" w14:textId="77777777" w:rsidR="00636C34" w:rsidRDefault="00636C34" w:rsidP="00636C34">
      <w:pPr>
        <w:pStyle w:val="ListParagraph"/>
        <w:widowControl/>
        <w:numPr>
          <w:ilvl w:val="0"/>
          <w:numId w:val="13"/>
        </w:numPr>
        <w:spacing w:after="160" w:line="259" w:lineRule="auto"/>
        <w:rPr>
          <w:rFonts w:ascii="Arial" w:hAnsi="Arial" w:cs="Arial"/>
          <w:b/>
        </w:rPr>
      </w:pPr>
      <w:r w:rsidRPr="000E6FB6">
        <w:rPr>
          <w:rFonts w:ascii="Arial" w:hAnsi="Arial" w:cs="Arial"/>
          <w:b/>
        </w:rPr>
        <w:t>Transfer and Employment Program Mapping Template (at least 1 Meta-major Area)</w:t>
      </w:r>
    </w:p>
    <w:p w14:paraId="48E03A2F" w14:textId="77777777" w:rsidR="00636C34" w:rsidRPr="000E6FB6" w:rsidRDefault="00636C34" w:rsidP="00636C34">
      <w:pPr>
        <w:pStyle w:val="ListParagraph"/>
        <w:widowControl/>
        <w:numPr>
          <w:ilvl w:val="0"/>
          <w:numId w:val="13"/>
        </w:numPr>
        <w:spacing w:after="0" w:line="240" w:lineRule="auto"/>
        <w:rPr>
          <w:rFonts w:ascii="Arial" w:hAnsi="Arial" w:cs="Arial"/>
          <w:b/>
        </w:rPr>
      </w:pPr>
      <w:r w:rsidRPr="00325283">
        <w:rPr>
          <w:rFonts w:ascii="Arial" w:hAnsi="Arial" w:cs="Arial"/>
          <w:b/>
        </w:rPr>
        <w:t>Measuring Your College’s Effectiveness Serving Transfer Students Data Template</w:t>
      </w:r>
      <w:r>
        <w:rPr>
          <w:rFonts w:ascii="Arial" w:hAnsi="Arial" w:cs="Arial"/>
          <w:b/>
        </w:rPr>
        <w:t xml:space="preserve"> – Using National  Student Clearinghouse Data </w:t>
      </w:r>
      <w:r>
        <w:rPr>
          <w:rFonts w:ascii="Arial" w:hAnsi="Arial" w:cs="Arial"/>
        </w:rPr>
        <w:t>(completed by or with your college’s IR department)</w:t>
      </w:r>
    </w:p>
    <w:p w14:paraId="5D24EC32" w14:textId="77777777" w:rsidR="00636C34" w:rsidRDefault="00636C34" w:rsidP="00636C34">
      <w:pPr>
        <w:widowControl/>
        <w:spacing w:after="0" w:line="240" w:lineRule="auto"/>
        <w:rPr>
          <w:rFonts w:ascii="Arial" w:hAnsi="Arial" w:cs="Arial"/>
          <w:b/>
        </w:rPr>
      </w:pPr>
    </w:p>
    <w:p w14:paraId="6C86332C" w14:textId="77777777" w:rsidR="00636C34" w:rsidRDefault="00636C34" w:rsidP="00636C34">
      <w:pPr>
        <w:widowControl/>
        <w:spacing w:after="0" w:line="240" w:lineRule="auto"/>
        <w:rPr>
          <w:rFonts w:ascii="Arial" w:hAnsi="Arial" w:cs="Arial"/>
          <w:b/>
        </w:rPr>
      </w:pPr>
      <w:r>
        <w:rPr>
          <w:rFonts w:ascii="Arial" w:hAnsi="Arial" w:cs="Arial"/>
          <w:b/>
        </w:rPr>
        <w:t>**Items b, c, and d above due to Renee Dimino via email (</w:t>
      </w:r>
      <w:hyperlink r:id="rId13" w:history="1">
        <w:r w:rsidRPr="00F23F65">
          <w:rPr>
            <w:rStyle w:val="Hyperlink"/>
            <w:rFonts w:ascii="Arial" w:hAnsi="Arial" w:cs="Arial"/>
            <w:b/>
          </w:rPr>
          <w:t>rdimino@monroecc.edu</w:t>
        </w:r>
      </w:hyperlink>
      <w:r>
        <w:rPr>
          <w:rFonts w:ascii="Arial" w:hAnsi="Arial" w:cs="Arial"/>
          <w:b/>
        </w:rPr>
        <w:t>) by March 4, 2019**</w:t>
      </w:r>
    </w:p>
    <w:p w14:paraId="7366063C" w14:textId="77777777" w:rsidR="00636C34" w:rsidRDefault="00636C34" w:rsidP="00636C34">
      <w:pPr>
        <w:widowControl/>
        <w:spacing w:after="0" w:line="240" w:lineRule="auto"/>
        <w:rPr>
          <w:rFonts w:ascii="Arial" w:hAnsi="Arial" w:cs="Arial"/>
          <w:b/>
        </w:rPr>
      </w:pPr>
    </w:p>
    <w:p w14:paraId="2C0A1154" w14:textId="77777777" w:rsidR="00636C34" w:rsidRPr="000E6FB6" w:rsidRDefault="00636C34" w:rsidP="00636C34">
      <w:pPr>
        <w:widowControl/>
        <w:spacing w:after="0" w:line="240" w:lineRule="auto"/>
        <w:rPr>
          <w:rFonts w:ascii="Arial" w:hAnsi="Arial" w:cs="Arial"/>
          <w:b/>
        </w:rPr>
      </w:pPr>
    </w:p>
    <w:p w14:paraId="19477BCA" w14:textId="77777777" w:rsidR="00636C34" w:rsidRDefault="00636C34" w:rsidP="00636C34">
      <w:pPr>
        <w:spacing w:after="0"/>
        <w:rPr>
          <w:rFonts w:ascii="Arial" w:hAnsi="Arial" w:cs="Arial"/>
          <w:bCs/>
        </w:rPr>
      </w:pPr>
      <w:r>
        <w:rPr>
          <w:rFonts w:ascii="Arial" w:hAnsi="Arial" w:cs="Arial"/>
          <w:b/>
          <w:bCs/>
        </w:rPr>
        <w:t>During the Institute</w:t>
      </w:r>
      <w:r>
        <w:rPr>
          <w:rFonts w:ascii="Arial" w:hAnsi="Arial" w:cs="Arial"/>
          <w:bCs/>
        </w:rPr>
        <w:t>:</w:t>
      </w:r>
    </w:p>
    <w:p w14:paraId="6664B7AB" w14:textId="77777777" w:rsidR="00636C34" w:rsidRDefault="00636C34" w:rsidP="00636C34">
      <w:pPr>
        <w:pStyle w:val="ListParagraph"/>
        <w:numPr>
          <w:ilvl w:val="0"/>
          <w:numId w:val="17"/>
        </w:numPr>
        <w:spacing w:after="0"/>
        <w:rPr>
          <w:rFonts w:ascii="Arial" w:hAnsi="Arial" w:cs="Arial"/>
          <w:bCs/>
        </w:rPr>
      </w:pPr>
      <w:r>
        <w:rPr>
          <w:rFonts w:ascii="Arial" w:hAnsi="Arial" w:cs="Arial"/>
          <w:bCs/>
        </w:rPr>
        <w:t>Begin work on short-term action plan parts I and II during College Team Strategy Session #1</w:t>
      </w:r>
    </w:p>
    <w:p w14:paraId="40E6F94E" w14:textId="77777777" w:rsidR="00636C34" w:rsidRDefault="00636C34" w:rsidP="00636C34">
      <w:pPr>
        <w:pStyle w:val="ListParagraph"/>
        <w:numPr>
          <w:ilvl w:val="0"/>
          <w:numId w:val="17"/>
        </w:numPr>
        <w:spacing w:after="0"/>
        <w:rPr>
          <w:rFonts w:ascii="Arial" w:hAnsi="Arial" w:cs="Arial"/>
          <w:bCs/>
        </w:rPr>
      </w:pPr>
      <w:r>
        <w:rPr>
          <w:rFonts w:ascii="Arial" w:hAnsi="Arial" w:cs="Arial"/>
          <w:bCs/>
        </w:rPr>
        <w:t xml:space="preserve">Begin work on </w:t>
      </w:r>
      <w:r w:rsidRPr="00E26E68">
        <w:rPr>
          <w:rFonts w:ascii="Arial" w:hAnsi="Arial" w:cs="Arial"/>
          <w:b/>
          <w:bCs/>
        </w:rPr>
        <w:t>short-term action plan</w:t>
      </w:r>
      <w:r>
        <w:rPr>
          <w:rFonts w:ascii="Arial" w:hAnsi="Arial" w:cs="Arial"/>
          <w:bCs/>
        </w:rPr>
        <w:t xml:space="preserve"> parts III and IV during College Team Strategy Session #2</w:t>
      </w:r>
    </w:p>
    <w:p w14:paraId="77F70B89" w14:textId="25FE2CBC" w:rsidR="00636C34" w:rsidRDefault="00636C34" w:rsidP="00636C34">
      <w:pPr>
        <w:spacing w:after="0"/>
        <w:rPr>
          <w:rFonts w:ascii="Arial" w:hAnsi="Arial" w:cs="Arial"/>
          <w:b/>
          <w:bCs/>
        </w:rPr>
      </w:pPr>
      <w:r>
        <w:rPr>
          <w:rFonts w:ascii="Arial" w:hAnsi="Arial" w:cs="Arial"/>
          <w:b/>
          <w:bCs/>
        </w:rPr>
        <w:t xml:space="preserve">Short term action plan should be submitted with all post-work by April 8, 2019 </w:t>
      </w:r>
      <w:r w:rsidR="00CF6A42">
        <w:rPr>
          <w:rFonts w:ascii="Arial" w:hAnsi="Arial" w:cs="Arial"/>
          <w:b/>
          <w:bCs/>
        </w:rPr>
        <w:t xml:space="preserve">to Renee Dimino via email </w:t>
      </w:r>
      <w:r>
        <w:rPr>
          <w:rFonts w:ascii="Arial" w:hAnsi="Arial" w:cs="Arial"/>
          <w:b/>
          <w:bCs/>
        </w:rPr>
        <w:t>(</w:t>
      </w:r>
      <w:hyperlink r:id="rId14" w:history="1">
        <w:r w:rsidRPr="00F23F65">
          <w:rPr>
            <w:rStyle w:val="Hyperlink"/>
            <w:rFonts w:ascii="Arial" w:hAnsi="Arial" w:cs="Arial"/>
            <w:b/>
            <w:bCs/>
          </w:rPr>
          <w:t>rdimino@monroecc.edu</w:t>
        </w:r>
      </w:hyperlink>
      <w:r>
        <w:rPr>
          <w:rFonts w:ascii="Arial" w:hAnsi="Arial" w:cs="Arial"/>
          <w:b/>
          <w:bCs/>
        </w:rPr>
        <w:t xml:space="preserve">) </w:t>
      </w:r>
    </w:p>
    <w:p w14:paraId="5B827DAE" w14:textId="77777777" w:rsidR="00636C34" w:rsidRDefault="00636C34" w:rsidP="00636C34">
      <w:pPr>
        <w:spacing w:after="0"/>
        <w:rPr>
          <w:rFonts w:ascii="Arial" w:hAnsi="Arial" w:cs="Arial"/>
          <w:b/>
          <w:bCs/>
        </w:rPr>
      </w:pPr>
    </w:p>
    <w:p w14:paraId="381C603E" w14:textId="77777777" w:rsidR="00636C34" w:rsidRDefault="00636C34" w:rsidP="00636C34">
      <w:pPr>
        <w:spacing w:after="0"/>
        <w:rPr>
          <w:rFonts w:ascii="Arial" w:hAnsi="Arial" w:cs="Arial"/>
          <w:b/>
          <w:bCs/>
        </w:rPr>
      </w:pPr>
    </w:p>
    <w:p w14:paraId="33A4F0CF" w14:textId="77777777" w:rsidR="00636C34" w:rsidRDefault="00636C34" w:rsidP="00636C34">
      <w:pPr>
        <w:spacing w:after="0"/>
        <w:rPr>
          <w:rFonts w:ascii="Arial" w:hAnsi="Arial" w:cs="Arial"/>
          <w:b/>
          <w:bCs/>
        </w:rPr>
      </w:pPr>
      <w:r>
        <w:rPr>
          <w:rFonts w:ascii="Arial" w:hAnsi="Arial" w:cs="Arial"/>
          <w:b/>
          <w:bCs/>
        </w:rPr>
        <w:t>After the Institute:</w:t>
      </w:r>
    </w:p>
    <w:p w14:paraId="59B6F736" w14:textId="77777777" w:rsidR="00636C34" w:rsidRDefault="00636C34" w:rsidP="00636C34">
      <w:pPr>
        <w:pStyle w:val="ListParagraph"/>
        <w:numPr>
          <w:ilvl w:val="0"/>
          <w:numId w:val="18"/>
        </w:numPr>
        <w:spacing w:after="0"/>
        <w:rPr>
          <w:rFonts w:ascii="Arial" w:hAnsi="Arial" w:cs="Arial"/>
          <w:bCs/>
        </w:rPr>
      </w:pPr>
      <w:r>
        <w:rPr>
          <w:rFonts w:ascii="Arial" w:hAnsi="Arial" w:cs="Arial"/>
          <w:bCs/>
        </w:rPr>
        <w:t xml:space="preserve">Finalize </w:t>
      </w:r>
      <w:r w:rsidRPr="00217ACB">
        <w:rPr>
          <w:rFonts w:ascii="Arial" w:hAnsi="Arial" w:cs="Arial"/>
          <w:b/>
          <w:bCs/>
        </w:rPr>
        <w:t>short-term action plan</w:t>
      </w:r>
      <w:r>
        <w:rPr>
          <w:rFonts w:ascii="Arial" w:hAnsi="Arial" w:cs="Arial"/>
          <w:bCs/>
        </w:rPr>
        <w:t xml:space="preserve"> with appropriate college-personnel</w:t>
      </w:r>
    </w:p>
    <w:p w14:paraId="5B36AD6E" w14:textId="77777777" w:rsidR="00636C34" w:rsidRPr="00294C7D" w:rsidRDefault="00636C34" w:rsidP="00636C34">
      <w:pPr>
        <w:pStyle w:val="ListParagraph"/>
        <w:numPr>
          <w:ilvl w:val="0"/>
          <w:numId w:val="18"/>
        </w:numPr>
        <w:rPr>
          <w:rFonts w:ascii="Arial" w:hAnsi="Arial" w:cs="Arial"/>
          <w:bCs/>
        </w:rPr>
      </w:pPr>
      <w:r w:rsidRPr="00294C7D">
        <w:rPr>
          <w:rFonts w:ascii="Arial" w:hAnsi="Arial" w:cs="Arial"/>
          <w:bCs/>
        </w:rPr>
        <w:t xml:space="preserve">Refine and finalize </w:t>
      </w:r>
      <w:r w:rsidRPr="00294C7D">
        <w:rPr>
          <w:rFonts w:ascii="Arial" w:hAnsi="Arial" w:cs="Arial"/>
          <w:b/>
          <w:bCs/>
        </w:rPr>
        <w:t>The Transfer Playbook: Tool for Assessing Progress toward Adoption of Essential Transfer Practices for Community Colleges</w:t>
      </w:r>
      <w:r>
        <w:rPr>
          <w:rFonts w:ascii="Arial" w:hAnsi="Arial" w:cs="Arial"/>
          <w:b/>
          <w:bCs/>
        </w:rPr>
        <w:t xml:space="preserve"> </w:t>
      </w:r>
      <w:r>
        <w:rPr>
          <w:rFonts w:ascii="Arial" w:hAnsi="Arial" w:cs="Arial"/>
          <w:bCs/>
        </w:rPr>
        <w:t>after wider college conversations (if not completed before institute)</w:t>
      </w:r>
    </w:p>
    <w:p w14:paraId="5BA8347E" w14:textId="77777777" w:rsidR="00636C34" w:rsidRPr="00783061" w:rsidRDefault="00636C34" w:rsidP="00636C34">
      <w:pPr>
        <w:pStyle w:val="ListParagraph"/>
        <w:numPr>
          <w:ilvl w:val="0"/>
          <w:numId w:val="18"/>
        </w:numPr>
        <w:spacing w:after="0"/>
        <w:rPr>
          <w:rFonts w:ascii="Arial" w:hAnsi="Arial" w:cs="Arial"/>
          <w:bCs/>
        </w:rPr>
      </w:pPr>
      <w:r>
        <w:rPr>
          <w:rFonts w:ascii="Arial" w:hAnsi="Arial" w:cs="Arial"/>
          <w:bCs/>
        </w:rPr>
        <w:t xml:space="preserve">Complete meta-major areas (total of 3) on </w:t>
      </w:r>
      <w:r w:rsidRPr="000E6FB6">
        <w:rPr>
          <w:rFonts w:ascii="Arial" w:hAnsi="Arial" w:cs="Arial"/>
          <w:b/>
        </w:rPr>
        <w:t>Transfer and Employment Program Mapping Template</w:t>
      </w:r>
    </w:p>
    <w:p w14:paraId="5EF2B650" w14:textId="77777777" w:rsidR="00636C34" w:rsidRDefault="00636C34" w:rsidP="00636C34">
      <w:pPr>
        <w:spacing w:after="0"/>
        <w:rPr>
          <w:rFonts w:ascii="Arial" w:hAnsi="Arial" w:cs="Arial"/>
          <w:bCs/>
        </w:rPr>
      </w:pPr>
    </w:p>
    <w:p w14:paraId="20491486" w14:textId="77777777" w:rsidR="00636C34" w:rsidRPr="00935B05" w:rsidRDefault="00636C34" w:rsidP="00636C34">
      <w:pPr>
        <w:spacing w:after="0"/>
        <w:rPr>
          <w:rFonts w:ascii="Arial" w:hAnsi="Arial" w:cs="Arial"/>
          <w:b/>
          <w:bCs/>
        </w:rPr>
      </w:pPr>
      <w:r w:rsidRPr="00935B05">
        <w:rPr>
          <w:rFonts w:ascii="Arial" w:hAnsi="Arial" w:cs="Arial"/>
          <w:b/>
          <w:bCs/>
        </w:rPr>
        <w:t>Submit all post-work items to Renee Dimino via email (</w:t>
      </w:r>
      <w:hyperlink r:id="rId15" w:history="1">
        <w:r w:rsidRPr="00935B05">
          <w:rPr>
            <w:rStyle w:val="Hyperlink"/>
            <w:rFonts w:ascii="Arial" w:hAnsi="Arial" w:cs="Arial"/>
            <w:b/>
            <w:bCs/>
          </w:rPr>
          <w:t>rdimino@monroecc.edu</w:t>
        </w:r>
      </w:hyperlink>
      <w:r w:rsidRPr="00935B05">
        <w:rPr>
          <w:rFonts w:ascii="Arial" w:hAnsi="Arial" w:cs="Arial"/>
          <w:b/>
          <w:bCs/>
        </w:rPr>
        <w:t>) by April 8, 2019.</w:t>
      </w:r>
    </w:p>
    <w:p w14:paraId="2EA51D04" w14:textId="77777777" w:rsidR="00636C34" w:rsidRDefault="00636C34" w:rsidP="00636C34">
      <w:pPr>
        <w:spacing w:after="0"/>
        <w:rPr>
          <w:rFonts w:ascii="Arial" w:hAnsi="Arial" w:cs="Arial"/>
          <w:bCs/>
        </w:rPr>
      </w:pPr>
    </w:p>
    <w:p w14:paraId="145EA422" w14:textId="0DCB5BEF" w:rsidR="006C2138" w:rsidRDefault="006C2138" w:rsidP="00C74101">
      <w:pPr>
        <w:spacing w:before="32" w:after="0" w:line="240" w:lineRule="auto"/>
        <w:ind w:right="-20"/>
        <w:rPr>
          <w:rFonts w:ascii="Arial" w:eastAsia="Arial" w:hAnsi="Arial" w:cs="Arial"/>
          <w:spacing w:val="4"/>
        </w:rPr>
      </w:pPr>
    </w:p>
    <w:sectPr w:rsidR="006C2138" w:rsidSect="00C74101">
      <w:footerReference w:type="default" r:id="rId16"/>
      <w:pgSz w:w="12240" w:h="15840"/>
      <w:pgMar w:top="1008" w:right="1325" w:bottom="1350" w:left="1339" w:header="0" w:footer="4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46574" w14:textId="77777777" w:rsidR="006504EC" w:rsidRDefault="006504EC">
      <w:pPr>
        <w:spacing w:after="0" w:line="240" w:lineRule="auto"/>
      </w:pPr>
      <w:r>
        <w:separator/>
      </w:r>
    </w:p>
  </w:endnote>
  <w:endnote w:type="continuationSeparator" w:id="0">
    <w:p w14:paraId="15AD1D3D" w14:textId="77777777" w:rsidR="006504EC" w:rsidRDefault="0065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DDEB" w14:textId="4D05D783" w:rsidR="00F87901" w:rsidRPr="00B9420D" w:rsidRDefault="00F87901" w:rsidP="00F87901">
    <w:pPr>
      <w:rPr>
        <w:rFonts w:ascii="Source Serif Pro" w:hAnsi="Source Serif Pro"/>
        <w:sz w:val="16"/>
        <w:szCs w:val="16"/>
        <w:lang w:val="x-none"/>
      </w:rPr>
    </w:pPr>
    <w:r>
      <w:rPr>
        <w:rFonts w:ascii="Source Serif Pro" w:hAnsi="Source Serif Pro"/>
        <w:sz w:val="16"/>
        <w:szCs w:val="16"/>
        <w:lang w:val="x-none"/>
      </w:rPr>
      <w:t>This planning tool was adapted for SUNY Guided Pathways from a template that was developed by the Community College Research Center and the American Association of Community Colleges’ Pathways Project.</w:t>
    </w:r>
  </w:p>
  <w:p w14:paraId="10B41E13" w14:textId="3A60E1E5" w:rsidR="00660021" w:rsidRDefault="0066002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55AA0" w14:textId="77777777" w:rsidR="006504EC" w:rsidRDefault="006504EC">
      <w:pPr>
        <w:spacing w:after="0" w:line="240" w:lineRule="auto"/>
      </w:pPr>
      <w:r>
        <w:separator/>
      </w:r>
    </w:p>
  </w:footnote>
  <w:footnote w:type="continuationSeparator" w:id="0">
    <w:p w14:paraId="6D699377" w14:textId="77777777" w:rsidR="006504EC" w:rsidRDefault="00650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1FF"/>
    <w:multiLevelType w:val="hybridMultilevel"/>
    <w:tmpl w:val="72221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6166B"/>
    <w:multiLevelType w:val="hybridMultilevel"/>
    <w:tmpl w:val="505A13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263B6"/>
    <w:multiLevelType w:val="hybridMultilevel"/>
    <w:tmpl w:val="2EF4B0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319F6"/>
    <w:multiLevelType w:val="hybridMultilevel"/>
    <w:tmpl w:val="AE4636E6"/>
    <w:lvl w:ilvl="0" w:tplc="4564684C">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F796010"/>
    <w:multiLevelType w:val="hybridMultilevel"/>
    <w:tmpl w:val="2E54B8A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0073DBC"/>
    <w:multiLevelType w:val="hybridMultilevel"/>
    <w:tmpl w:val="3ACE7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F75601"/>
    <w:multiLevelType w:val="hybridMultilevel"/>
    <w:tmpl w:val="A3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05B94"/>
    <w:multiLevelType w:val="hybridMultilevel"/>
    <w:tmpl w:val="259049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19957C2"/>
    <w:multiLevelType w:val="hybridMultilevel"/>
    <w:tmpl w:val="1262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C2C10"/>
    <w:multiLevelType w:val="hybridMultilevel"/>
    <w:tmpl w:val="2626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84BD4"/>
    <w:multiLevelType w:val="hybridMultilevel"/>
    <w:tmpl w:val="70A6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B219A9"/>
    <w:multiLevelType w:val="hybridMultilevel"/>
    <w:tmpl w:val="73F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80395"/>
    <w:multiLevelType w:val="hybridMultilevel"/>
    <w:tmpl w:val="2620ED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8D745E"/>
    <w:multiLevelType w:val="hybridMultilevel"/>
    <w:tmpl w:val="9F4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0FD"/>
    <w:multiLevelType w:val="hybridMultilevel"/>
    <w:tmpl w:val="505A13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1249F"/>
    <w:multiLevelType w:val="hybridMultilevel"/>
    <w:tmpl w:val="533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369CA"/>
    <w:multiLevelType w:val="hybridMultilevel"/>
    <w:tmpl w:val="7FFEA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C5A9D"/>
    <w:multiLevelType w:val="hybridMultilevel"/>
    <w:tmpl w:val="727A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8D75CC"/>
    <w:multiLevelType w:val="hybridMultilevel"/>
    <w:tmpl w:val="D9902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64672E"/>
    <w:multiLevelType w:val="hybridMultilevel"/>
    <w:tmpl w:val="2F4CB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15"/>
  </w:num>
  <w:num w:numId="6">
    <w:abstractNumId w:val="9"/>
  </w:num>
  <w:num w:numId="7">
    <w:abstractNumId w:val="17"/>
  </w:num>
  <w:num w:numId="8">
    <w:abstractNumId w:val="10"/>
  </w:num>
  <w:num w:numId="9">
    <w:abstractNumId w:val="0"/>
  </w:num>
  <w:num w:numId="10">
    <w:abstractNumId w:val="11"/>
  </w:num>
  <w:num w:numId="11">
    <w:abstractNumId w:val="6"/>
  </w:num>
  <w:num w:numId="12">
    <w:abstractNumId w:val="13"/>
  </w:num>
  <w:num w:numId="13">
    <w:abstractNumId w:val="12"/>
  </w:num>
  <w:num w:numId="14">
    <w:abstractNumId w:val="2"/>
  </w:num>
  <w:num w:numId="15">
    <w:abstractNumId w:val="14"/>
  </w:num>
  <w:num w:numId="16">
    <w:abstractNumId w:val="8"/>
  </w:num>
  <w:num w:numId="17">
    <w:abstractNumId w:val="19"/>
  </w:num>
  <w:num w:numId="18">
    <w:abstractNumId w:val="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21"/>
    <w:rsid w:val="000037E7"/>
    <w:rsid w:val="000426D5"/>
    <w:rsid w:val="0006413F"/>
    <w:rsid w:val="00092922"/>
    <w:rsid w:val="000E6FB6"/>
    <w:rsid w:val="000E73DA"/>
    <w:rsid w:val="0010067C"/>
    <w:rsid w:val="001639F0"/>
    <w:rsid w:val="001C3BBC"/>
    <w:rsid w:val="001E3E43"/>
    <w:rsid w:val="00217ACB"/>
    <w:rsid w:val="00227CE8"/>
    <w:rsid w:val="00294C7D"/>
    <w:rsid w:val="002A3991"/>
    <w:rsid w:val="002A6178"/>
    <w:rsid w:val="002B0145"/>
    <w:rsid w:val="002B7ECB"/>
    <w:rsid w:val="002E2B43"/>
    <w:rsid w:val="002E3FC3"/>
    <w:rsid w:val="002F1661"/>
    <w:rsid w:val="0030036F"/>
    <w:rsid w:val="003225E8"/>
    <w:rsid w:val="00323760"/>
    <w:rsid w:val="0032398A"/>
    <w:rsid w:val="0033190F"/>
    <w:rsid w:val="003448D8"/>
    <w:rsid w:val="00354277"/>
    <w:rsid w:val="00356048"/>
    <w:rsid w:val="0038530C"/>
    <w:rsid w:val="003A3FCC"/>
    <w:rsid w:val="003A61DF"/>
    <w:rsid w:val="003B2CDA"/>
    <w:rsid w:val="003D46AE"/>
    <w:rsid w:val="003E4875"/>
    <w:rsid w:val="003F4E7F"/>
    <w:rsid w:val="0040049B"/>
    <w:rsid w:val="00413D23"/>
    <w:rsid w:val="004A1529"/>
    <w:rsid w:val="004A7775"/>
    <w:rsid w:val="004B45A0"/>
    <w:rsid w:val="004E23B9"/>
    <w:rsid w:val="004F2388"/>
    <w:rsid w:val="00507648"/>
    <w:rsid w:val="00530093"/>
    <w:rsid w:val="00596940"/>
    <w:rsid w:val="005C5F55"/>
    <w:rsid w:val="006165B8"/>
    <w:rsid w:val="00622FA6"/>
    <w:rsid w:val="00636C34"/>
    <w:rsid w:val="00642954"/>
    <w:rsid w:val="006504EC"/>
    <w:rsid w:val="00660021"/>
    <w:rsid w:val="006A2823"/>
    <w:rsid w:val="006C14FA"/>
    <w:rsid w:val="006C2138"/>
    <w:rsid w:val="006C570B"/>
    <w:rsid w:val="006E74CB"/>
    <w:rsid w:val="007268A2"/>
    <w:rsid w:val="00745FCB"/>
    <w:rsid w:val="0077285F"/>
    <w:rsid w:val="00783061"/>
    <w:rsid w:val="00783DA4"/>
    <w:rsid w:val="007F1481"/>
    <w:rsid w:val="00807BC4"/>
    <w:rsid w:val="00816AFB"/>
    <w:rsid w:val="00821F0A"/>
    <w:rsid w:val="0082500E"/>
    <w:rsid w:val="00857CE2"/>
    <w:rsid w:val="00880125"/>
    <w:rsid w:val="00893A23"/>
    <w:rsid w:val="00894F03"/>
    <w:rsid w:val="008A11A4"/>
    <w:rsid w:val="008C7B49"/>
    <w:rsid w:val="008D4EA6"/>
    <w:rsid w:val="008F3DEA"/>
    <w:rsid w:val="00917657"/>
    <w:rsid w:val="00933877"/>
    <w:rsid w:val="00935B05"/>
    <w:rsid w:val="00964DEB"/>
    <w:rsid w:val="009D04EF"/>
    <w:rsid w:val="009E368A"/>
    <w:rsid w:val="009E3C0B"/>
    <w:rsid w:val="00A658A9"/>
    <w:rsid w:val="00A763D8"/>
    <w:rsid w:val="00A864B9"/>
    <w:rsid w:val="00AA4CA9"/>
    <w:rsid w:val="00AE3192"/>
    <w:rsid w:val="00AE3366"/>
    <w:rsid w:val="00B64E5B"/>
    <w:rsid w:val="00B70C40"/>
    <w:rsid w:val="00B736D1"/>
    <w:rsid w:val="00B9420D"/>
    <w:rsid w:val="00B96B8F"/>
    <w:rsid w:val="00B977BF"/>
    <w:rsid w:val="00BA0B6D"/>
    <w:rsid w:val="00BD14AB"/>
    <w:rsid w:val="00BF07AE"/>
    <w:rsid w:val="00C20FBB"/>
    <w:rsid w:val="00C232F7"/>
    <w:rsid w:val="00C42854"/>
    <w:rsid w:val="00C51B7D"/>
    <w:rsid w:val="00C531BE"/>
    <w:rsid w:val="00C60933"/>
    <w:rsid w:val="00C664E4"/>
    <w:rsid w:val="00C74101"/>
    <w:rsid w:val="00CE080B"/>
    <w:rsid w:val="00CF5C33"/>
    <w:rsid w:val="00CF6A42"/>
    <w:rsid w:val="00D05000"/>
    <w:rsid w:val="00D3302D"/>
    <w:rsid w:val="00D4388E"/>
    <w:rsid w:val="00D87272"/>
    <w:rsid w:val="00DE4953"/>
    <w:rsid w:val="00E1293F"/>
    <w:rsid w:val="00E237AC"/>
    <w:rsid w:val="00E26E68"/>
    <w:rsid w:val="00E44B54"/>
    <w:rsid w:val="00E50838"/>
    <w:rsid w:val="00E6464A"/>
    <w:rsid w:val="00E66C20"/>
    <w:rsid w:val="00E93003"/>
    <w:rsid w:val="00EF4ED8"/>
    <w:rsid w:val="00F46F7D"/>
    <w:rsid w:val="00F713E5"/>
    <w:rsid w:val="00F87901"/>
    <w:rsid w:val="00F87CB1"/>
    <w:rsid w:val="00FB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6EB5E7"/>
  <w15:docId w15:val="{CCD660C4-2764-4A37-BAE6-4AAC57CD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CB"/>
    <w:pPr>
      <w:ind w:left="720"/>
      <w:contextualSpacing/>
    </w:pPr>
  </w:style>
  <w:style w:type="paragraph" w:styleId="BalloonText">
    <w:name w:val="Balloon Text"/>
    <w:basedOn w:val="Normal"/>
    <w:link w:val="BalloonTextChar"/>
    <w:uiPriority w:val="99"/>
    <w:semiHidden/>
    <w:unhideWhenUsed/>
    <w:rsid w:val="000E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DA"/>
    <w:rPr>
      <w:rFonts w:ascii="Segoe UI" w:hAnsi="Segoe UI" w:cs="Segoe UI"/>
      <w:sz w:val="18"/>
      <w:szCs w:val="18"/>
    </w:rPr>
  </w:style>
  <w:style w:type="character" w:styleId="CommentReference">
    <w:name w:val="annotation reference"/>
    <w:basedOn w:val="DefaultParagraphFont"/>
    <w:uiPriority w:val="99"/>
    <w:semiHidden/>
    <w:unhideWhenUsed/>
    <w:rsid w:val="00323760"/>
    <w:rPr>
      <w:sz w:val="16"/>
      <w:szCs w:val="16"/>
    </w:rPr>
  </w:style>
  <w:style w:type="paragraph" w:styleId="CommentText">
    <w:name w:val="annotation text"/>
    <w:basedOn w:val="Normal"/>
    <w:link w:val="CommentTextChar"/>
    <w:uiPriority w:val="99"/>
    <w:semiHidden/>
    <w:unhideWhenUsed/>
    <w:rsid w:val="00323760"/>
    <w:pPr>
      <w:spacing w:line="240" w:lineRule="auto"/>
    </w:pPr>
    <w:rPr>
      <w:sz w:val="20"/>
      <w:szCs w:val="20"/>
    </w:rPr>
  </w:style>
  <w:style w:type="character" w:customStyle="1" w:styleId="CommentTextChar">
    <w:name w:val="Comment Text Char"/>
    <w:basedOn w:val="DefaultParagraphFont"/>
    <w:link w:val="CommentText"/>
    <w:uiPriority w:val="99"/>
    <w:semiHidden/>
    <w:rsid w:val="00323760"/>
    <w:rPr>
      <w:sz w:val="20"/>
      <w:szCs w:val="20"/>
    </w:rPr>
  </w:style>
  <w:style w:type="paragraph" w:styleId="CommentSubject">
    <w:name w:val="annotation subject"/>
    <w:basedOn w:val="CommentText"/>
    <w:next w:val="CommentText"/>
    <w:link w:val="CommentSubjectChar"/>
    <w:uiPriority w:val="99"/>
    <w:semiHidden/>
    <w:unhideWhenUsed/>
    <w:rsid w:val="00323760"/>
    <w:rPr>
      <w:b/>
      <w:bCs/>
    </w:rPr>
  </w:style>
  <w:style w:type="character" w:customStyle="1" w:styleId="CommentSubjectChar">
    <w:name w:val="Comment Subject Char"/>
    <w:basedOn w:val="CommentTextChar"/>
    <w:link w:val="CommentSubject"/>
    <w:uiPriority w:val="99"/>
    <w:semiHidden/>
    <w:rsid w:val="00323760"/>
    <w:rPr>
      <w:b/>
      <w:bCs/>
      <w:sz w:val="20"/>
      <w:szCs w:val="20"/>
    </w:rPr>
  </w:style>
  <w:style w:type="paragraph" w:styleId="Header">
    <w:name w:val="header"/>
    <w:basedOn w:val="Normal"/>
    <w:link w:val="HeaderChar"/>
    <w:uiPriority w:val="99"/>
    <w:unhideWhenUsed/>
    <w:rsid w:val="00F8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901"/>
  </w:style>
  <w:style w:type="paragraph" w:styleId="Footer">
    <w:name w:val="footer"/>
    <w:basedOn w:val="Normal"/>
    <w:link w:val="FooterChar"/>
    <w:uiPriority w:val="99"/>
    <w:unhideWhenUsed/>
    <w:rsid w:val="00F8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901"/>
  </w:style>
  <w:style w:type="character" w:styleId="Hyperlink">
    <w:name w:val="Hyperlink"/>
    <w:basedOn w:val="DefaultParagraphFont"/>
    <w:uiPriority w:val="99"/>
    <w:unhideWhenUsed/>
    <w:rsid w:val="00A658A9"/>
    <w:rPr>
      <w:color w:val="0000FF" w:themeColor="hyperlink"/>
      <w:u w:val="single"/>
    </w:rPr>
  </w:style>
  <w:style w:type="paragraph" w:customStyle="1" w:styleId="Default">
    <w:name w:val="Default"/>
    <w:rsid w:val="006C2138"/>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33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speninstitute.org/publications/transfer-playbook/" TargetMode="External"/><Relationship Id="rId13" Type="http://schemas.openxmlformats.org/officeDocument/2006/relationships/hyperlink" Target="mailto:rdimino@monroec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peninstitute.org/publications/transfer-play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rdimino@monroecc.edu" TargetMode="External"/><Relationship Id="rId10" Type="http://schemas.openxmlformats.org/officeDocument/2006/relationships/hyperlink" Target="mailto:rdimino@monroecc.edu" TargetMode="External"/><Relationship Id="rId4" Type="http://schemas.openxmlformats.org/officeDocument/2006/relationships/webSettings" Target="webSettings.xml"/><Relationship Id="rId9" Type="http://schemas.openxmlformats.org/officeDocument/2006/relationships/hyperlink" Target="mailto:rdimino@monroecc.edu" TargetMode="External"/><Relationship Id="rId14" Type="http://schemas.openxmlformats.org/officeDocument/2006/relationships/hyperlink" Target="mailto:rdimino@monro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Renee Dimino</cp:lastModifiedBy>
  <cp:revision>23</cp:revision>
  <dcterms:created xsi:type="dcterms:W3CDTF">2018-12-14T16:09:00Z</dcterms:created>
  <dcterms:modified xsi:type="dcterms:W3CDTF">2019-02-04T20:37:00Z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2018-03-22T00:00:00Z</vt:filetime>
  </property>
</Properties>
</file>